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18"/>
        <w:gridCol w:w="5051"/>
        <w:gridCol w:w="403"/>
        <w:gridCol w:w="36"/>
      </w:tblGrid>
      <w:tr w:rsidR="007D2BDA" w:rsidRPr="007D7E0B" w:rsidTr="004C6C1D">
        <w:trPr>
          <w:gridAfter w:val="1"/>
          <w:wAfter w:w="36" w:type="dxa"/>
        </w:trPr>
        <w:tc>
          <w:tcPr>
            <w:tcW w:w="8928" w:type="dxa"/>
            <w:gridSpan w:val="4"/>
            <w:tcBorders>
              <w:bottom w:val="single" w:sz="18" w:space="0" w:color="auto"/>
            </w:tcBorders>
          </w:tcPr>
          <w:p w:rsidR="007D2BDA" w:rsidRDefault="00C10324"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4C6C1D">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4"/>
            <w:tcBorders>
              <w:bottom w:val="single" w:sz="18" w:space="0" w:color="auto"/>
            </w:tcBorders>
          </w:tcPr>
          <w:p w:rsidR="002A2389" w:rsidRDefault="004C6C1D" w:rsidP="00D32B51">
            <w:pPr>
              <w:pStyle w:val="Infotext"/>
              <w:rPr>
                <w:rFonts w:ascii="Arial Black" w:hAnsi="Arial Black" w:cs="Arial"/>
                <w:sz w:val="36"/>
                <w:szCs w:val="36"/>
              </w:rPr>
            </w:pPr>
            <w:r>
              <w:rPr>
                <w:rFonts w:ascii="Arial Black" w:hAnsi="Arial Black" w:cs="Arial"/>
                <w:sz w:val="36"/>
                <w:szCs w:val="36"/>
              </w:rPr>
              <w:t>Council</w:t>
            </w:r>
          </w:p>
          <w:p w:rsidR="002C1794" w:rsidRPr="002C1794" w:rsidRDefault="002C1794" w:rsidP="00D32B51">
            <w:pPr>
              <w:pStyle w:val="Infotext"/>
              <w:rPr>
                <w:rFonts w:ascii="Arial Black" w:hAnsi="Arial Black" w:cs="Arial"/>
                <w:color w:val="0000FF"/>
                <w:sz w:val="36"/>
                <w:szCs w:val="36"/>
              </w:rPr>
            </w:pPr>
            <w:bookmarkStart w:id="0" w:name="_GoBack"/>
            <w:bookmarkEnd w:id="0"/>
          </w:p>
        </w:tc>
      </w:tr>
      <w:tr w:rsidR="004C6C1D" w:rsidRPr="004C6C1D" w:rsidTr="004C6C1D">
        <w:trPr>
          <w:gridAfter w:val="2"/>
          <w:wAfter w:w="439" w:type="dxa"/>
        </w:trPr>
        <w:tc>
          <w:tcPr>
            <w:tcW w:w="3474" w:type="dxa"/>
            <w:gridSpan w:val="2"/>
            <w:tcBorders>
              <w:top w:val="single" w:sz="18" w:space="0" w:color="auto"/>
            </w:tcBorders>
          </w:tcPr>
          <w:p w:rsidR="004C6C1D" w:rsidRPr="004C6C1D" w:rsidRDefault="004C6C1D" w:rsidP="004C6C1D">
            <w:pPr>
              <w:rPr>
                <w:rFonts w:ascii="Arial Black" w:hAnsi="Arial Black"/>
                <w:sz w:val="28"/>
              </w:rPr>
            </w:pPr>
            <w:r w:rsidRPr="004C6C1D">
              <w:rPr>
                <w:rFonts w:ascii="Arial Black" w:hAnsi="Arial Black"/>
                <w:sz w:val="28"/>
              </w:rPr>
              <w:t>Date of Meeting:</w:t>
            </w:r>
          </w:p>
          <w:p w:rsidR="004C6C1D" w:rsidRPr="004C6C1D" w:rsidRDefault="004C6C1D" w:rsidP="004C6C1D">
            <w:pPr>
              <w:rPr>
                <w:rFonts w:ascii="Arial Black" w:hAnsi="Arial Black" w:cs="Arial"/>
                <w:sz w:val="28"/>
              </w:rPr>
            </w:pPr>
          </w:p>
        </w:tc>
        <w:tc>
          <w:tcPr>
            <w:tcW w:w="5051" w:type="dxa"/>
            <w:tcBorders>
              <w:top w:val="single" w:sz="18" w:space="0" w:color="auto"/>
            </w:tcBorders>
          </w:tcPr>
          <w:p w:rsidR="004C6C1D" w:rsidRPr="004C6C1D" w:rsidRDefault="004C6C1D" w:rsidP="004C6C1D">
            <w:pPr>
              <w:rPr>
                <w:rFonts w:cs="Arial"/>
              </w:rPr>
            </w:pPr>
            <w:r w:rsidRPr="004C6C1D">
              <w:rPr>
                <w:rFonts w:cs="Arial"/>
              </w:rPr>
              <w:t>27</w:t>
            </w:r>
            <w:r w:rsidRPr="004C6C1D">
              <w:rPr>
                <w:rFonts w:cs="Arial"/>
                <w:vertAlign w:val="superscript"/>
              </w:rPr>
              <w:t>th</w:t>
            </w:r>
            <w:r w:rsidRPr="004C6C1D">
              <w:rPr>
                <w:rFonts w:cs="Arial"/>
              </w:rPr>
              <w:t xml:space="preserve"> February 2020</w:t>
            </w:r>
          </w:p>
        </w:tc>
      </w:tr>
      <w:tr w:rsidR="004C6C1D" w:rsidRPr="004C6C1D" w:rsidTr="004C6C1D">
        <w:trPr>
          <w:gridAfter w:val="2"/>
          <w:wAfter w:w="439" w:type="dxa"/>
        </w:trPr>
        <w:tc>
          <w:tcPr>
            <w:tcW w:w="3474" w:type="dxa"/>
            <w:gridSpan w:val="2"/>
          </w:tcPr>
          <w:p w:rsidR="004C6C1D" w:rsidRPr="004C6C1D" w:rsidRDefault="004C6C1D" w:rsidP="004C6C1D">
            <w:pPr>
              <w:rPr>
                <w:rFonts w:ascii="Arial Black" w:hAnsi="Arial Black" w:cs="Arial"/>
                <w:sz w:val="28"/>
              </w:rPr>
            </w:pPr>
            <w:r w:rsidRPr="004C6C1D">
              <w:rPr>
                <w:rFonts w:ascii="Arial Black" w:hAnsi="Arial Black" w:cs="Arial"/>
                <w:sz w:val="28"/>
              </w:rPr>
              <w:t>Subject:</w:t>
            </w:r>
          </w:p>
          <w:p w:rsidR="004C6C1D" w:rsidRPr="004C6C1D" w:rsidRDefault="004C6C1D" w:rsidP="004C6C1D">
            <w:pPr>
              <w:rPr>
                <w:rFonts w:ascii="Arial Black" w:hAnsi="Arial Black"/>
                <w:sz w:val="28"/>
              </w:rPr>
            </w:pPr>
          </w:p>
        </w:tc>
        <w:tc>
          <w:tcPr>
            <w:tcW w:w="5051" w:type="dxa"/>
          </w:tcPr>
          <w:p w:rsidR="004C6C1D" w:rsidRPr="004C6C1D" w:rsidRDefault="004C6C1D" w:rsidP="004C6C1D">
            <w:pPr>
              <w:rPr>
                <w:rFonts w:cs="Arial"/>
              </w:rPr>
            </w:pPr>
            <w:r w:rsidRPr="004C6C1D">
              <w:rPr>
                <w:rFonts w:cs="Arial"/>
              </w:rPr>
              <w:t>Non-Executive fees and charges for 2020-21</w:t>
            </w:r>
          </w:p>
        </w:tc>
      </w:tr>
      <w:tr w:rsidR="004C6C1D" w:rsidRPr="004C6C1D" w:rsidTr="004C6C1D">
        <w:trPr>
          <w:gridAfter w:val="2"/>
          <w:wAfter w:w="439" w:type="dxa"/>
        </w:trPr>
        <w:tc>
          <w:tcPr>
            <w:tcW w:w="3474" w:type="dxa"/>
            <w:gridSpan w:val="2"/>
          </w:tcPr>
          <w:p w:rsidR="004C6C1D" w:rsidRPr="004C6C1D" w:rsidRDefault="004C6C1D" w:rsidP="004C6C1D">
            <w:pPr>
              <w:rPr>
                <w:rFonts w:ascii="Arial Black" w:hAnsi="Arial Black" w:cs="Arial"/>
                <w:sz w:val="28"/>
              </w:rPr>
            </w:pPr>
            <w:r w:rsidRPr="004C6C1D">
              <w:rPr>
                <w:rFonts w:ascii="Arial Black" w:hAnsi="Arial Black" w:cs="Arial"/>
                <w:sz w:val="28"/>
              </w:rPr>
              <w:t>Responsible Officer:</w:t>
            </w:r>
          </w:p>
          <w:p w:rsidR="004C6C1D" w:rsidRPr="004C6C1D" w:rsidRDefault="004C6C1D" w:rsidP="004C6C1D">
            <w:pPr>
              <w:rPr>
                <w:rFonts w:ascii="Arial Black" w:hAnsi="Arial Black" w:cs="Arial"/>
                <w:sz w:val="28"/>
              </w:rPr>
            </w:pPr>
          </w:p>
        </w:tc>
        <w:tc>
          <w:tcPr>
            <w:tcW w:w="5051" w:type="dxa"/>
          </w:tcPr>
          <w:p w:rsidR="004C6C1D" w:rsidRPr="004C6C1D" w:rsidRDefault="004C6C1D" w:rsidP="004C6C1D">
            <w:pPr>
              <w:rPr>
                <w:rFonts w:cs="Arial"/>
              </w:rPr>
            </w:pPr>
            <w:r w:rsidRPr="004C6C1D">
              <w:rPr>
                <w:rFonts w:cs="Arial"/>
              </w:rPr>
              <w:t>Sean Harriss – Chief Executive</w:t>
            </w:r>
          </w:p>
          <w:p w:rsidR="004C6C1D" w:rsidRPr="004C6C1D" w:rsidRDefault="004C6C1D" w:rsidP="004C6C1D">
            <w:pPr>
              <w:rPr>
                <w:rFonts w:cs="Arial"/>
              </w:rPr>
            </w:pPr>
          </w:p>
        </w:tc>
      </w:tr>
      <w:tr w:rsidR="004C6C1D" w:rsidRPr="004C6C1D" w:rsidTr="004C6C1D">
        <w:trPr>
          <w:gridAfter w:val="2"/>
          <w:wAfter w:w="439" w:type="dxa"/>
        </w:trPr>
        <w:tc>
          <w:tcPr>
            <w:tcW w:w="3474" w:type="dxa"/>
            <w:gridSpan w:val="2"/>
          </w:tcPr>
          <w:p w:rsidR="004C6C1D" w:rsidRPr="004C6C1D" w:rsidRDefault="004C6C1D" w:rsidP="004C6C1D">
            <w:pPr>
              <w:rPr>
                <w:rFonts w:ascii="Arial Black" w:hAnsi="Arial Black" w:cs="Arial"/>
                <w:sz w:val="28"/>
              </w:rPr>
            </w:pPr>
            <w:r w:rsidRPr="004C6C1D">
              <w:rPr>
                <w:rFonts w:ascii="Arial Black" w:hAnsi="Arial Black" w:cs="Arial"/>
                <w:sz w:val="28"/>
              </w:rPr>
              <w:t>Exempt:</w:t>
            </w:r>
          </w:p>
          <w:p w:rsidR="004C6C1D" w:rsidRPr="004C6C1D" w:rsidRDefault="004C6C1D" w:rsidP="004C6C1D">
            <w:pPr>
              <w:rPr>
                <w:rFonts w:ascii="Arial Black" w:hAnsi="Arial Black" w:cs="Arial"/>
                <w:sz w:val="28"/>
              </w:rPr>
            </w:pPr>
          </w:p>
        </w:tc>
        <w:tc>
          <w:tcPr>
            <w:tcW w:w="5051" w:type="dxa"/>
          </w:tcPr>
          <w:p w:rsidR="004C6C1D" w:rsidRPr="004C6C1D" w:rsidRDefault="004C6C1D" w:rsidP="004C6C1D">
            <w:pPr>
              <w:rPr>
                <w:rFonts w:cs="Arial"/>
              </w:rPr>
            </w:pPr>
            <w:r w:rsidRPr="004C6C1D">
              <w:rPr>
                <w:rFonts w:cs="Arial"/>
              </w:rPr>
              <w:t>No</w:t>
            </w:r>
          </w:p>
        </w:tc>
      </w:tr>
      <w:tr w:rsidR="004C6C1D" w:rsidRPr="004C6C1D" w:rsidTr="004C6C1D">
        <w:trPr>
          <w:gridAfter w:val="2"/>
          <w:wAfter w:w="439" w:type="dxa"/>
        </w:trPr>
        <w:tc>
          <w:tcPr>
            <w:tcW w:w="3474" w:type="dxa"/>
            <w:gridSpan w:val="2"/>
          </w:tcPr>
          <w:p w:rsidR="004C6C1D" w:rsidRPr="004C6C1D" w:rsidRDefault="004C6C1D" w:rsidP="004C6C1D">
            <w:pPr>
              <w:rPr>
                <w:rFonts w:ascii="Arial Black" w:hAnsi="Arial Black" w:cs="Arial"/>
                <w:sz w:val="28"/>
              </w:rPr>
            </w:pPr>
            <w:r w:rsidRPr="004C6C1D">
              <w:rPr>
                <w:rFonts w:ascii="Arial Black" w:hAnsi="Arial Black" w:cs="Arial"/>
                <w:sz w:val="28"/>
              </w:rPr>
              <w:t>Wards affected:</w:t>
            </w:r>
          </w:p>
          <w:p w:rsidR="004C6C1D" w:rsidRPr="004C6C1D" w:rsidRDefault="004C6C1D" w:rsidP="004C6C1D">
            <w:pPr>
              <w:rPr>
                <w:rFonts w:ascii="Arial Black" w:hAnsi="Arial Black" w:cs="Arial"/>
                <w:sz w:val="28"/>
              </w:rPr>
            </w:pPr>
          </w:p>
        </w:tc>
        <w:tc>
          <w:tcPr>
            <w:tcW w:w="5051" w:type="dxa"/>
          </w:tcPr>
          <w:p w:rsidR="004C6C1D" w:rsidRPr="004C6C1D" w:rsidRDefault="004C6C1D" w:rsidP="004C6C1D">
            <w:pPr>
              <w:ind w:left="720" w:hanging="720"/>
              <w:jc w:val="both"/>
              <w:outlineLvl w:val="2"/>
              <w:rPr>
                <w:rFonts w:cs="Arial"/>
                <w:bCs/>
                <w:szCs w:val="28"/>
              </w:rPr>
            </w:pPr>
            <w:r w:rsidRPr="004C6C1D">
              <w:rPr>
                <w:rFonts w:cs="Arial"/>
                <w:bCs/>
                <w:szCs w:val="28"/>
              </w:rPr>
              <w:t>All Wards</w:t>
            </w:r>
          </w:p>
        </w:tc>
      </w:tr>
      <w:tr w:rsidR="004C6C1D" w:rsidRPr="004C6C1D" w:rsidTr="004C6C1D">
        <w:trPr>
          <w:gridAfter w:val="2"/>
          <w:wAfter w:w="439" w:type="dxa"/>
        </w:trPr>
        <w:tc>
          <w:tcPr>
            <w:tcW w:w="3474" w:type="dxa"/>
            <w:gridSpan w:val="2"/>
          </w:tcPr>
          <w:p w:rsidR="004C6C1D" w:rsidRPr="004C6C1D" w:rsidRDefault="004C6C1D" w:rsidP="004C6C1D">
            <w:pPr>
              <w:rPr>
                <w:rFonts w:ascii="Arial Black" w:hAnsi="Arial Black" w:cs="Arial"/>
                <w:sz w:val="28"/>
              </w:rPr>
            </w:pPr>
            <w:r w:rsidRPr="004C6C1D">
              <w:rPr>
                <w:rFonts w:ascii="Arial Black" w:hAnsi="Arial Black" w:cs="Arial"/>
                <w:sz w:val="28"/>
              </w:rPr>
              <w:t>Enclosures:</w:t>
            </w:r>
          </w:p>
          <w:p w:rsidR="004C6C1D" w:rsidRPr="004C6C1D" w:rsidRDefault="004C6C1D" w:rsidP="004C6C1D">
            <w:pPr>
              <w:rPr>
                <w:rFonts w:ascii="Arial Black" w:hAnsi="Arial Black" w:cs="Arial"/>
                <w:sz w:val="28"/>
              </w:rPr>
            </w:pPr>
          </w:p>
        </w:tc>
        <w:tc>
          <w:tcPr>
            <w:tcW w:w="5051" w:type="dxa"/>
          </w:tcPr>
          <w:p w:rsidR="004C6C1D" w:rsidRPr="004C6C1D" w:rsidRDefault="004C6C1D" w:rsidP="004C6C1D">
            <w:pPr>
              <w:ind w:left="720" w:hanging="720"/>
              <w:jc w:val="both"/>
              <w:outlineLvl w:val="2"/>
              <w:rPr>
                <w:rFonts w:cs="Arial"/>
                <w:bCs/>
                <w:szCs w:val="28"/>
              </w:rPr>
            </w:pPr>
            <w:r w:rsidRPr="004C6C1D">
              <w:rPr>
                <w:rFonts w:cs="Arial"/>
                <w:bCs/>
                <w:szCs w:val="28"/>
              </w:rPr>
              <w:t>Appendix 1 - Fees and Charges 2020-21</w:t>
            </w:r>
          </w:p>
          <w:p w:rsidR="004C6C1D" w:rsidRPr="004C6C1D" w:rsidRDefault="004C6C1D" w:rsidP="004C6C1D"/>
        </w:tc>
      </w:tr>
    </w:tbl>
    <w:p w:rsidR="004C6C1D" w:rsidRPr="004C6C1D" w:rsidRDefault="004C6C1D" w:rsidP="004C6C1D">
      <w:pPr>
        <w:rPr>
          <w:rFonts w:cs="Arial"/>
        </w:rPr>
      </w:pPr>
    </w:p>
    <w:p w:rsidR="004C6C1D" w:rsidRPr="004C6C1D" w:rsidRDefault="004C6C1D" w:rsidP="004C6C1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4C6C1D" w:rsidRPr="004C6C1D" w:rsidTr="006650BE">
        <w:tc>
          <w:tcPr>
            <w:tcW w:w="8525" w:type="dxa"/>
            <w:tcBorders>
              <w:top w:val="nil"/>
              <w:left w:val="nil"/>
              <w:right w:val="nil"/>
            </w:tcBorders>
          </w:tcPr>
          <w:p w:rsidR="004C6C1D" w:rsidRPr="004C6C1D" w:rsidRDefault="004C6C1D" w:rsidP="004C6C1D">
            <w:pPr>
              <w:outlineLvl w:val="0"/>
              <w:rPr>
                <w:rFonts w:ascii="Arial Black" w:hAnsi="Arial Black" w:cs="Arial"/>
                <w:bCs/>
                <w:sz w:val="32"/>
                <w:szCs w:val="32"/>
              </w:rPr>
            </w:pPr>
            <w:r w:rsidRPr="004C6C1D">
              <w:rPr>
                <w:rFonts w:ascii="Arial Black" w:hAnsi="Arial Black" w:cs="Arial"/>
                <w:bCs/>
                <w:sz w:val="32"/>
                <w:szCs w:val="32"/>
              </w:rPr>
              <w:t>Section 1 – Summary and Recommendations</w:t>
            </w:r>
          </w:p>
          <w:p w:rsidR="004C6C1D" w:rsidRPr="004C6C1D" w:rsidRDefault="004C6C1D" w:rsidP="004C6C1D"/>
        </w:tc>
      </w:tr>
      <w:tr w:rsidR="004C6C1D" w:rsidRPr="004C6C1D" w:rsidTr="006650BE">
        <w:tc>
          <w:tcPr>
            <w:tcW w:w="8525" w:type="dxa"/>
          </w:tcPr>
          <w:p w:rsidR="004C6C1D" w:rsidRPr="004C6C1D" w:rsidRDefault="004C6C1D" w:rsidP="004C6C1D"/>
          <w:p w:rsidR="004C6C1D" w:rsidRPr="004C6C1D" w:rsidRDefault="004C6C1D" w:rsidP="004C6C1D">
            <w:r w:rsidRPr="004C6C1D">
              <w:t xml:space="preserve">This report sets out the proposed fees and charges for licences/applications for those matters listed in this report, and as set out in appendix 1. </w:t>
            </w:r>
          </w:p>
          <w:p w:rsidR="004C6C1D" w:rsidRPr="004C6C1D" w:rsidRDefault="004C6C1D" w:rsidP="004C6C1D">
            <w:pPr>
              <w:outlineLvl w:val="1"/>
              <w:rPr>
                <w:rFonts w:cs="Arial"/>
                <w:b/>
                <w:bCs/>
                <w:sz w:val="28"/>
                <w:szCs w:val="32"/>
              </w:rPr>
            </w:pPr>
          </w:p>
          <w:p w:rsidR="004C6C1D" w:rsidRPr="004C6C1D" w:rsidRDefault="004C6C1D" w:rsidP="004C6C1D">
            <w:pPr>
              <w:outlineLvl w:val="1"/>
              <w:rPr>
                <w:rFonts w:cs="Arial"/>
                <w:b/>
                <w:bCs/>
                <w:sz w:val="28"/>
                <w:szCs w:val="32"/>
              </w:rPr>
            </w:pPr>
            <w:r w:rsidRPr="004C6C1D">
              <w:rPr>
                <w:rFonts w:cs="Arial"/>
                <w:b/>
                <w:bCs/>
                <w:sz w:val="28"/>
                <w:szCs w:val="32"/>
              </w:rPr>
              <w:t xml:space="preserve">Recommendations: </w:t>
            </w:r>
          </w:p>
          <w:p w:rsidR="004C6C1D" w:rsidRPr="004C6C1D" w:rsidRDefault="004C6C1D" w:rsidP="004C6C1D"/>
          <w:p w:rsidR="004C6C1D" w:rsidRPr="004C6C1D" w:rsidRDefault="004C6C1D" w:rsidP="004C6C1D">
            <w:r w:rsidRPr="004C6C1D">
              <w:t>Council is requested to:</w:t>
            </w:r>
          </w:p>
          <w:p w:rsidR="004C6C1D" w:rsidRPr="004C6C1D" w:rsidRDefault="004C6C1D" w:rsidP="004C6C1D"/>
          <w:p w:rsidR="004C6C1D" w:rsidRPr="004C6C1D" w:rsidRDefault="004C6C1D" w:rsidP="004C6C1D">
            <w:r w:rsidRPr="004C6C1D">
              <w:t xml:space="preserve">1.Approve and set the fees and charges listed in Appendix 1 for the financial </w:t>
            </w:r>
          </w:p>
          <w:p w:rsidR="004C6C1D" w:rsidRPr="004C6C1D" w:rsidRDefault="004C6C1D" w:rsidP="004C6C1D">
            <w:r w:rsidRPr="004C6C1D">
              <w:t>year 2020-21.</w:t>
            </w:r>
          </w:p>
          <w:p w:rsidR="004C6C1D" w:rsidRPr="004C6C1D" w:rsidRDefault="004C6C1D" w:rsidP="004C6C1D">
            <w:r w:rsidRPr="004C6C1D">
              <w:t>.</w:t>
            </w:r>
          </w:p>
          <w:p w:rsidR="004C6C1D" w:rsidRPr="004C6C1D" w:rsidRDefault="004C6C1D" w:rsidP="004C6C1D">
            <w:r w:rsidRPr="004C6C1D">
              <w:t xml:space="preserve">2. </w:t>
            </w:r>
            <w:r w:rsidRPr="004C6C1D">
              <w:rPr>
                <w:szCs w:val="24"/>
              </w:rPr>
              <w:t>Delegate authority to the Director of Finance, to amend fees and charges in year and agree new fees and charges,</w:t>
            </w:r>
            <w:r w:rsidR="00376708">
              <w:rPr>
                <w:szCs w:val="24"/>
              </w:rPr>
              <w:t xml:space="preserve"> following</w:t>
            </w:r>
            <w:r w:rsidRPr="004C6C1D">
              <w:rPr>
                <w:szCs w:val="24"/>
              </w:rPr>
              <w:t xml:space="preserve"> consultation with relevant Corporate Directors and Portfolio Holders</w:t>
            </w:r>
            <w:r w:rsidR="00376708">
              <w:rPr>
                <w:szCs w:val="24"/>
              </w:rPr>
              <w:t>.</w:t>
            </w:r>
            <w:r w:rsidRPr="004C6C1D" w:rsidDel="00E33AE9">
              <w:rPr>
                <w:szCs w:val="24"/>
              </w:rPr>
              <w:t xml:space="preserve"> </w:t>
            </w:r>
          </w:p>
          <w:p w:rsidR="004C6C1D" w:rsidRPr="004C6C1D" w:rsidRDefault="004C6C1D" w:rsidP="004C6C1D">
            <w:pPr>
              <w:jc w:val="both"/>
              <w:rPr>
                <w:rFonts w:cs="Arial"/>
              </w:rPr>
            </w:pPr>
          </w:p>
        </w:tc>
      </w:tr>
    </w:tbl>
    <w:p w:rsidR="004C6C1D" w:rsidRPr="004C6C1D" w:rsidRDefault="004C6C1D" w:rsidP="004C6C1D">
      <w:pPr>
        <w:outlineLvl w:val="0"/>
        <w:rPr>
          <w:rFonts w:ascii="Arial Black" w:hAnsi="Arial Black" w:cs="Arial"/>
          <w:bCs/>
          <w:sz w:val="32"/>
          <w:szCs w:val="32"/>
        </w:rPr>
      </w:pPr>
    </w:p>
    <w:p w:rsidR="004C6C1D" w:rsidRPr="004C6C1D" w:rsidRDefault="004C6C1D" w:rsidP="004C6C1D">
      <w:pPr>
        <w:outlineLvl w:val="0"/>
        <w:rPr>
          <w:rFonts w:ascii="Arial Black" w:hAnsi="Arial Black" w:cs="Arial"/>
          <w:bCs/>
          <w:sz w:val="32"/>
          <w:szCs w:val="32"/>
        </w:rPr>
        <w:sectPr w:rsidR="004C6C1D" w:rsidRPr="004C6C1D" w:rsidSect="00CD1F01">
          <w:footerReference w:type="default" r:id="rId9"/>
          <w:headerReference w:type="first" r:id="rId10"/>
          <w:footerReference w:type="first" r:id="rId11"/>
          <w:pgSz w:w="11909" w:h="16834" w:code="9"/>
          <w:pgMar w:top="864" w:right="1800" w:bottom="2880" w:left="1800" w:header="720" w:footer="432" w:gutter="0"/>
          <w:cols w:space="720"/>
          <w:titlePg/>
          <w:docGrid w:linePitch="360"/>
        </w:sectPr>
      </w:pPr>
    </w:p>
    <w:p w:rsidR="004C6C1D" w:rsidRPr="004C6C1D" w:rsidRDefault="004C6C1D" w:rsidP="004C6C1D">
      <w:pPr>
        <w:outlineLvl w:val="0"/>
        <w:rPr>
          <w:rFonts w:ascii="Arial Black" w:hAnsi="Arial Black" w:cs="Arial"/>
          <w:bCs/>
          <w:sz w:val="32"/>
          <w:szCs w:val="32"/>
        </w:rPr>
      </w:pPr>
      <w:r w:rsidRPr="004C6C1D">
        <w:rPr>
          <w:rFonts w:ascii="Arial Black" w:hAnsi="Arial Black" w:cs="Arial"/>
          <w:bCs/>
          <w:sz w:val="32"/>
          <w:szCs w:val="32"/>
        </w:rPr>
        <w:lastRenderedPageBreak/>
        <w:t>Section 2 – Report</w:t>
      </w:r>
    </w:p>
    <w:p w:rsidR="004C6C1D" w:rsidRPr="004C6C1D" w:rsidRDefault="004C6C1D" w:rsidP="004C6C1D">
      <w:pPr>
        <w:outlineLvl w:val="1"/>
        <w:rPr>
          <w:rFonts w:cs="Arial"/>
          <w:b/>
          <w:bCs/>
          <w:sz w:val="28"/>
          <w:szCs w:val="32"/>
        </w:rPr>
      </w:pPr>
    </w:p>
    <w:p w:rsidR="004C6C1D" w:rsidRPr="004C6C1D" w:rsidRDefault="004C6C1D" w:rsidP="004C6C1D">
      <w:pPr>
        <w:outlineLvl w:val="1"/>
        <w:rPr>
          <w:rFonts w:cs="Arial"/>
          <w:b/>
          <w:bCs/>
          <w:color w:val="0000FF"/>
          <w:sz w:val="28"/>
          <w:szCs w:val="32"/>
        </w:rPr>
      </w:pPr>
      <w:r w:rsidRPr="004C6C1D">
        <w:rPr>
          <w:rFonts w:cs="Arial"/>
          <w:b/>
          <w:bCs/>
          <w:color w:val="0000FF"/>
          <w:sz w:val="28"/>
          <w:szCs w:val="32"/>
        </w:rPr>
        <w:t>2.1 Background &amp; Current Situation</w:t>
      </w:r>
    </w:p>
    <w:p w:rsidR="004C6C1D" w:rsidRPr="004C6C1D" w:rsidRDefault="004C6C1D" w:rsidP="004C6C1D"/>
    <w:p w:rsidR="004C6C1D" w:rsidRPr="004C6C1D" w:rsidRDefault="004C6C1D" w:rsidP="004C6C1D">
      <w:pPr>
        <w:ind w:left="720" w:hanging="720"/>
        <w:rPr>
          <w:szCs w:val="24"/>
        </w:rPr>
      </w:pPr>
      <w:r w:rsidRPr="004C6C1D">
        <w:rPr>
          <w:szCs w:val="24"/>
        </w:rPr>
        <w:t>The following fees &amp; charges (amongst others) are covered in this report:</w:t>
      </w:r>
    </w:p>
    <w:p w:rsidR="004C6C1D" w:rsidRPr="004C6C1D" w:rsidRDefault="004C6C1D" w:rsidP="004C6C1D">
      <w:pPr>
        <w:ind w:left="720" w:hanging="720"/>
        <w:rPr>
          <w:szCs w:val="24"/>
        </w:rPr>
      </w:pPr>
    </w:p>
    <w:p w:rsidR="004C6C1D" w:rsidRPr="004C6C1D" w:rsidRDefault="004C6C1D" w:rsidP="004C6C1D">
      <w:pPr>
        <w:numPr>
          <w:ilvl w:val="0"/>
          <w:numId w:val="15"/>
        </w:numPr>
        <w:rPr>
          <w:szCs w:val="24"/>
        </w:rPr>
      </w:pPr>
      <w:r w:rsidRPr="004C6C1D">
        <w:rPr>
          <w:szCs w:val="24"/>
        </w:rPr>
        <w:t>Fees for applications for Special Treatment Licensing under the London Local Authorities Act 1991</w:t>
      </w:r>
    </w:p>
    <w:p w:rsidR="004C6C1D" w:rsidRPr="004C6C1D" w:rsidRDefault="004C6C1D" w:rsidP="004C6C1D">
      <w:pPr>
        <w:rPr>
          <w:szCs w:val="24"/>
        </w:rPr>
      </w:pPr>
    </w:p>
    <w:p w:rsidR="004C6C1D" w:rsidRPr="004C6C1D" w:rsidRDefault="004C6C1D" w:rsidP="004C6C1D">
      <w:pPr>
        <w:numPr>
          <w:ilvl w:val="0"/>
          <w:numId w:val="15"/>
        </w:numPr>
        <w:rPr>
          <w:szCs w:val="24"/>
        </w:rPr>
      </w:pPr>
      <w:r w:rsidRPr="004C6C1D">
        <w:rPr>
          <w:szCs w:val="24"/>
        </w:rPr>
        <w:t>Fees for licence applications for Houses in Multiple Occupation and Selective Licensing under the Housing Act 2004</w:t>
      </w:r>
    </w:p>
    <w:p w:rsidR="004C6C1D" w:rsidRPr="004C6C1D" w:rsidRDefault="004C6C1D" w:rsidP="004C6C1D">
      <w:pPr>
        <w:rPr>
          <w:szCs w:val="24"/>
        </w:rPr>
      </w:pPr>
    </w:p>
    <w:p w:rsidR="004C6C1D" w:rsidRPr="004C6C1D" w:rsidRDefault="004C6C1D" w:rsidP="004C6C1D">
      <w:pPr>
        <w:numPr>
          <w:ilvl w:val="0"/>
          <w:numId w:val="15"/>
        </w:numPr>
        <w:rPr>
          <w:szCs w:val="24"/>
        </w:rPr>
      </w:pPr>
      <w:r w:rsidRPr="004C6C1D">
        <w:rPr>
          <w:szCs w:val="24"/>
        </w:rPr>
        <w:t>Charges for notifications for Skip Licenses, Materials on Highway, Hoarding and scaffolding licences under the Highways Act 1980</w:t>
      </w:r>
    </w:p>
    <w:p w:rsidR="004C6C1D" w:rsidRPr="004C6C1D" w:rsidRDefault="004C6C1D" w:rsidP="004C6C1D">
      <w:pPr>
        <w:rPr>
          <w:szCs w:val="24"/>
        </w:rPr>
      </w:pPr>
    </w:p>
    <w:p w:rsidR="004C6C1D" w:rsidRPr="004C6C1D" w:rsidRDefault="004C6C1D" w:rsidP="004C6C1D">
      <w:pPr>
        <w:numPr>
          <w:ilvl w:val="0"/>
          <w:numId w:val="15"/>
        </w:numPr>
        <w:rPr>
          <w:szCs w:val="24"/>
        </w:rPr>
      </w:pPr>
      <w:r w:rsidRPr="004C6C1D">
        <w:rPr>
          <w:szCs w:val="24"/>
        </w:rPr>
        <w:t>Fees for applications for Pet Shops, Animal Boarding/Breeding, Performing Animals and Horse Riding Establishments</w:t>
      </w:r>
    </w:p>
    <w:p w:rsidR="004C6C1D" w:rsidRPr="004C6C1D" w:rsidRDefault="004C6C1D" w:rsidP="004C6C1D">
      <w:pPr>
        <w:rPr>
          <w:szCs w:val="24"/>
        </w:rPr>
      </w:pPr>
    </w:p>
    <w:p w:rsidR="004C6C1D" w:rsidRPr="004C6C1D" w:rsidRDefault="004C6C1D" w:rsidP="004C6C1D">
      <w:pPr>
        <w:rPr>
          <w:szCs w:val="24"/>
        </w:rPr>
      </w:pPr>
    </w:p>
    <w:p w:rsidR="004C6C1D" w:rsidRPr="004C6C1D" w:rsidRDefault="004C6C1D" w:rsidP="004C6C1D">
      <w:pPr>
        <w:numPr>
          <w:ilvl w:val="0"/>
          <w:numId w:val="15"/>
        </w:numPr>
        <w:rPr>
          <w:szCs w:val="24"/>
        </w:rPr>
      </w:pPr>
      <w:r w:rsidRPr="004C6C1D">
        <w:rPr>
          <w:szCs w:val="24"/>
        </w:rPr>
        <w:t>Fees for applications for Hypnotism, Sex Shops, Sexual Entertainment Venues, Poisons and Scrap Metal &amp; Motor Salvage Operators licences.</w:t>
      </w:r>
    </w:p>
    <w:p w:rsidR="004C6C1D" w:rsidRPr="004C6C1D" w:rsidRDefault="004C6C1D" w:rsidP="004C6C1D">
      <w:pPr>
        <w:spacing w:after="200" w:line="276" w:lineRule="auto"/>
        <w:ind w:left="720"/>
        <w:contextualSpacing/>
        <w:rPr>
          <w:rFonts w:ascii="Calibri" w:hAnsi="Calibri"/>
          <w:sz w:val="22"/>
          <w:szCs w:val="24"/>
        </w:rPr>
      </w:pPr>
    </w:p>
    <w:p w:rsidR="004C6C1D" w:rsidRPr="004C6C1D" w:rsidRDefault="004C6C1D" w:rsidP="004C6C1D">
      <w:pPr>
        <w:numPr>
          <w:ilvl w:val="0"/>
          <w:numId w:val="15"/>
        </w:numPr>
        <w:rPr>
          <w:szCs w:val="24"/>
        </w:rPr>
      </w:pPr>
      <w:r w:rsidRPr="004C6C1D">
        <w:rPr>
          <w:szCs w:val="24"/>
        </w:rPr>
        <w:t>Street Trading Fees and charges</w:t>
      </w:r>
    </w:p>
    <w:p w:rsidR="004C6C1D" w:rsidRPr="004C6C1D" w:rsidRDefault="004C6C1D" w:rsidP="004C6C1D">
      <w:pPr>
        <w:spacing w:after="200" w:line="276" w:lineRule="auto"/>
        <w:ind w:left="720"/>
        <w:contextualSpacing/>
        <w:rPr>
          <w:rFonts w:ascii="Calibri" w:hAnsi="Calibri"/>
          <w:sz w:val="22"/>
          <w:szCs w:val="24"/>
        </w:rPr>
      </w:pPr>
    </w:p>
    <w:p w:rsidR="004C6C1D" w:rsidRPr="004C6C1D" w:rsidRDefault="004C6C1D" w:rsidP="004C6C1D">
      <w:pPr>
        <w:numPr>
          <w:ilvl w:val="0"/>
          <w:numId w:val="15"/>
        </w:numPr>
        <w:rPr>
          <w:szCs w:val="24"/>
        </w:rPr>
      </w:pPr>
      <w:r w:rsidRPr="004C6C1D">
        <w:rPr>
          <w:szCs w:val="24"/>
        </w:rPr>
        <w:t>Other non-executive fees covered by the Environment and Culture Division</w:t>
      </w:r>
    </w:p>
    <w:p w:rsidR="004C6C1D" w:rsidRPr="004C6C1D" w:rsidRDefault="004C6C1D" w:rsidP="004C6C1D">
      <w:pPr>
        <w:spacing w:after="200" w:line="276" w:lineRule="auto"/>
        <w:ind w:left="720"/>
        <w:contextualSpacing/>
        <w:rPr>
          <w:rFonts w:ascii="Calibri" w:hAnsi="Calibri"/>
          <w:sz w:val="22"/>
          <w:szCs w:val="24"/>
        </w:rPr>
      </w:pPr>
    </w:p>
    <w:p w:rsidR="004C6C1D" w:rsidRPr="004C6C1D" w:rsidRDefault="004C6C1D" w:rsidP="004C6C1D">
      <w:pPr>
        <w:ind w:left="720"/>
        <w:rPr>
          <w:szCs w:val="24"/>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The fees and charges in Appendix 1were historically considered by the Licensing &amp; General Purposes Committee, as the above relate to non-executive functions.  As the Licensing &amp; General Purposes Committee no longer has regular meetings, and usually only meets once annually to agree sub-committees, approval of these fees and charges rests with full Council.</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p>
    <w:p w:rsidR="004C6C1D" w:rsidRDefault="004C6C1D" w:rsidP="004C6C1D">
      <w:pPr>
        <w:autoSpaceDE w:val="0"/>
        <w:autoSpaceDN w:val="0"/>
        <w:adjustRightInd w:val="0"/>
        <w:rPr>
          <w:rFonts w:cs="Arial"/>
          <w:color w:val="000000"/>
          <w:szCs w:val="24"/>
          <w:lang w:val="en-US"/>
        </w:rPr>
      </w:pPr>
    </w:p>
    <w:p w:rsidR="004C6C1D" w:rsidRDefault="004C6C1D" w:rsidP="004C6C1D">
      <w:pPr>
        <w:autoSpaceDE w:val="0"/>
        <w:autoSpaceDN w:val="0"/>
        <w:adjustRightInd w:val="0"/>
        <w:rPr>
          <w:rFonts w:cs="Arial"/>
          <w:color w:val="000000"/>
          <w:szCs w:val="24"/>
          <w:lang w:val="en-US"/>
        </w:rPr>
      </w:pPr>
    </w:p>
    <w:p w:rsidR="004C6C1D" w:rsidRDefault="004C6C1D" w:rsidP="004C6C1D">
      <w:pPr>
        <w:autoSpaceDE w:val="0"/>
        <w:autoSpaceDN w:val="0"/>
        <w:adjustRightInd w:val="0"/>
        <w:rPr>
          <w:rFonts w:cs="Arial"/>
          <w:color w:val="000000"/>
          <w:szCs w:val="24"/>
          <w:lang w:val="en-US"/>
        </w:rPr>
      </w:pPr>
    </w:p>
    <w:p w:rsidR="004C6C1D" w:rsidRDefault="004C6C1D" w:rsidP="004C6C1D">
      <w:pPr>
        <w:autoSpaceDE w:val="0"/>
        <w:autoSpaceDN w:val="0"/>
        <w:adjustRightInd w:val="0"/>
        <w:rPr>
          <w:rFonts w:cs="Arial"/>
          <w:color w:val="000000"/>
          <w:szCs w:val="24"/>
          <w:lang w:val="en-US"/>
        </w:rPr>
      </w:pPr>
    </w:p>
    <w:p w:rsid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outlineLvl w:val="1"/>
        <w:rPr>
          <w:rFonts w:cs="Arial"/>
          <w:b/>
          <w:bCs/>
          <w:sz w:val="28"/>
          <w:szCs w:val="32"/>
        </w:rPr>
      </w:pPr>
      <w:r w:rsidRPr="004C6C1D">
        <w:rPr>
          <w:rFonts w:cs="Arial"/>
          <w:b/>
          <w:bCs/>
          <w:color w:val="0000FF"/>
          <w:sz w:val="28"/>
          <w:szCs w:val="32"/>
        </w:rPr>
        <w:lastRenderedPageBreak/>
        <w:t>2.1.1 Statutory Fees</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The requirement or ability to levy a fee/charge for those items listed in Appendix 1 are provided for in statute, either being set down as a fixed amount (</w:t>
      </w:r>
      <w:r w:rsidRPr="004C6C1D">
        <w:rPr>
          <w:rFonts w:cs="Arial"/>
          <w:i/>
          <w:color w:val="000000"/>
          <w:szCs w:val="24"/>
          <w:lang w:val="en-US"/>
        </w:rPr>
        <w:t>statutory prescribed</w:t>
      </w:r>
      <w:r w:rsidRPr="004C6C1D">
        <w:rPr>
          <w:rFonts w:cs="Arial"/>
          <w:color w:val="000000"/>
          <w:szCs w:val="24"/>
          <w:lang w:val="en-US"/>
        </w:rPr>
        <w:t>) that the Council cannot vary/set, or by providing the authority with the power to set a fee/charge in accordance with the requirement of the legislation (</w:t>
      </w:r>
      <w:proofErr w:type="spellStart"/>
      <w:r w:rsidRPr="004C6C1D">
        <w:rPr>
          <w:rFonts w:cs="Arial"/>
          <w:color w:val="000000"/>
          <w:szCs w:val="24"/>
          <w:lang w:val="en-US"/>
        </w:rPr>
        <w:t>eg</w:t>
      </w:r>
      <w:proofErr w:type="spellEnd"/>
      <w:r w:rsidRPr="004C6C1D">
        <w:rPr>
          <w:rFonts w:cs="Arial"/>
          <w:color w:val="000000"/>
          <w:szCs w:val="24"/>
          <w:lang w:val="en-US"/>
        </w:rPr>
        <w:t xml:space="preserve">. up to a maximum amount, or cost recovery only, or reasonable cost </w:t>
      </w:r>
      <w:proofErr w:type="spellStart"/>
      <w:r w:rsidRPr="004C6C1D">
        <w:rPr>
          <w:rFonts w:cs="Arial"/>
          <w:color w:val="000000"/>
          <w:szCs w:val="24"/>
          <w:lang w:val="en-US"/>
        </w:rPr>
        <w:t>etc</w:t>
      </w:r>
      <w:proofErr w:type="spellEnd"/>
      <w:r w:rsidRPr="004C6C1D">
        <w:rPr>
          <w:rFonts w:cs="Arial"/>
          <w:color w:val="000000"/>
          <w:szCs w:val="24"/>
          <w:lang w:val="en-US"/>
        </w:rPr>
        <w:t>) (</w:t>
      </w:r>
      <w:r w:rsidRPr="004C6C1D">
        <w:rPr>
          <w:rFonts w:cs="Arial"/>
          <w:i/>
          <w:color w:val="000000"/>
          <w:szCs w:val="24"/>
          <w:lang w:val="en-US"/>
        </w:rPr>
        <w:t>statutory discretionary</w:t>
      </w:r>
      <w:r w:rsidRPr="004C6C1D">
        <w:rPr>
          <w:rFonts w:cs="Arial"/>
          <w:color w:val="000000"/>
          <w:szCs w:val="24"/>
          <w:lang w:val="en-US"/>
        </w:rPr>
        <w:t xml:space="preserve">).  Fees noted in Appendix 1 as ‘statutory prescribed’ are for noting only.  </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 xml:space="preserve">The majority of Licensing Act 2003 regime fees were originally set via the Licensing Act 2003 (Fees) Regulations 2005 and are prescribed.  In a number of cases these fees do not reflect the actual cost of administering the regime but the Council cannot change these. </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The Gambling Act 2005 sets out maximum fees for gambling premises licenses and fees for permits, notifications and lotteries, and were set in 2007 when the Act came into effect.  The authority can set its fees in accordance with these up to the maximum permitted level.</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Section 32 of the London Local Authorities Act 1990 permits the council to charge fees and charges in respect of street trading licenses on a cost recovery basis. In respect of some offences relating to street trading, fixed penalty notices can be issued, and the penalty levels are agreed through London Councils.</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outlineLvl w:val="1"/>
        <w:rPr>
          <w:rFonts w:cs="Arial"/>
          <w:b/>
          <w:bCs/>
          <w:sz w:val="28"/>
          <w:szCs w:val="32"/>
        </w:rPr>
      </w:pPr>
      <w:r w:rsidRPr="004C6C1D">
        <w:rPr>
          <w:rFonts w:cs="Arial"/>
          <w:b/>
          <w:bCs/>
          <w:color w:val="0000FF"/>
          <w:sz w:val="28"/>
          <w:szCs w:val="32"/>
        </w:rPr>
        <w:t>2.1.2 European Services Directive</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 xml:space="preserve">The European Union Services Directive (2006/123/EC), brought into effect in the UK by the Provision of Services Regulations 2009, requires that fees &amp; charges set under an </w:t>
      </w:r>
      <w:proofErr w:type="spellStart"/>
      <w:r w:rsidRPr="004C6C1D">
        <w:rPr>
          <w:rFonts w:cs="Arial"/>
          <w:color w:val="000000"/>
          <w:szCs w:val="24"/>
          <w:lang w:val="en-US"/>
        </w:rPr>
        <w:t>authorisation</w:t>
      </w:r>
      <w:proofErr w:type="spellEnd"/>
      <w:r w:rsidRPr="004C6C1D">
        <w:rPr>
          <w:rFonts w:cs="Arial"/>
          <w:color w:val="000000"/>
          <w:szCs w:val="24"/>
          <w:lang w:val="en-US"/>
        </w:rPr>
        <w:t xml:space="preserve"> scheme have to be reasonable and proportionate to the cost of the procedures and formalities of it and should not exceed these costs. </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Following a ruling by the European Court of Justice in the case of Hemming v Westminster City Council, it is now clear that fees charged in accordance with a scheme that falls under the provisions of the Services Directive cannot at the outset cover more than just the cost of administering and processing the application (to grant a license for example).  Whilst the cost of enforcing the regime can be recovered, this cannot be wrapped up into one fee at the outset.  Therefore such fees and charges are split into:</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numPr>
          <w:ilvl w:val="0"/>
          <w:numId w:val="16"/>
        </w:numPr>
        <w:autoSpaceDE w:val="0"/>
        <w:autoSpaceDN w:val="0"/>
        <w:adjustRightInd w:val="0"/>
        <w:rPr>
          <w:rFonts w:cs="Arial"/>
          <w:color w:val="000000"/>
          <w:szCs w:val="24"/>
          <w:lang w:val="en-US"/>
        </w:rPr>
      </w:pPr>
      <w:r w:rsidRPr="004C6C1D">
        <w:rPr>
          <w:rFonts w:cs="Arial"/>
          <w:color w:val="000000"/>
          <w:szCs w:val="24"/>
          <w:lang w:val="en-US"/>
        </w:rPr>
        <w:t>The costs of the application process; and</w:t>
      </w:r>
    </w:p>
    <w:p w:rsidR="004C6C1D" w:rsidRPr="004C6C1D" w:rsidRDefault="004C6C1D" w:rsidP="004C6C1D">
      <w:pPr>
        <w:numPr>
          <w:ilvl w:val="0"/>
          <w:numId w:val="16"/>
        </w:numPr>
        <w:autoSpaceDE w:val="0"/>
        <w:autoSpaceDN w:val="0"/>
        <w:adjustRightInd w:val="0"/>
        <w:rPr>
          <w:rFonts w:cs="Arial"/>
          <w:color w:val="000000"/>
          <w:szCs w:val="24"/>
          <w:lang w:val="en-US"/>
        </w:rPr>
      </w:pPr>
      <w:r w:rsidRPr="004C6C1D">
        <w:rPr>
          <w:rFonts w:cs="Arial"/>
          <w:color w:val="000000"/>
          <w:szCs w:val="24"/>
          <w:lang w:val="en-US"/>
        </w:rPr>
        <w:t>On the application being successful, a further fee to cover the costs of the management and enforcement of the licensing regime.</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It is no longer permitted to seek one fee incorporating both application and enforcement costs, and the fees need to be split and the second charge only due for applications which are successful (i.e. granted).</w:t>
      </w:r>
    </w:p>
    <w:p w:rsidR="004C6C1D" w:rsidRDefault="004C6C1D" w:rsidP="004C6C1D">
      <w:pPr>
        <w:autoSpaceDE w:val="0"/>
        <w:autoSpaceDN w:val="0"/>
        <w:adjustRightInd w:val="0"/>
        <w:rPr>
          <w:rFonts w:cs="Arial"/>
          <w:color w:val="000000"/>
          <w:szCs w:val="24"/>
          <w:lang w:val="en-US"/>
        </w:rPr>
      </w:pPr>
    </w:p>
    <w:p w:rsidR="00C10324" w:rsidRPr="004C6C1D" w:rsidRDefault="00C10324"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lastRenderedPageBreak/>
        <w:t xml:space="preserve">Therefore, a number of the fees and charges within Appendix 1 are now split into two parts - the administration fee, and the management and enforcement fee.  </w:t>
      </w:r>
      <w:r w:rsidR="00C10324">
        <w:rPr>
          <w:rFonts w:cs="Arial"/>
          <w:color w:val="000000"/>
          <w:szCs w:val="24"/>
          <w:lang w:val="en-US"/>
        </w:rPr>
        <w:t>This is not applicable to all, whereby this aspect is left blank on the schedule.</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pPr>
        <w:autoSpaceDE w:val="0"/>
        <w:autoSpaceDN w:val="0"/>
        <w:adjustRightInd w:val="0"/>
        <w:rPr>
          <w:rFonts w:cs="Arial"/>
          <w:color w:val="000000"/>
          <w:szCs w:val="24"/>
          <w:lang w:val="en-US"/>
        </w:rPr>
      </w:pPr>
      <w:r w:rsidRPr="004C6C1D">
        <w:rPr>
          <w:rFonts w:cs="Arial"/>
          <w:color w:val="000000"/>
          <w:szCs w:val="24"/>
          <w:lang w:val="en-US"/>
        </w:rPr>
        <w:t xml:space="preserve">The fees are reflective of the costs for each aspect and it can be noted that the greater part of the overall fee is the cost of  the administration of the application (Part 1 of the fee), which includes initial inspections in a lot of licensing regimes.  </w:t>
      </w:r>
    </w:p>
    <w:p w:rsidR="004C6C1D" w:rsidRPr="004C6C1D" w:rsidRDefault="004C6C1D" w:rsidP="004C6C1D">
      <w:pPr>
        <w:rPr>
          <w:color w:val="0000FF"/>
        </w:rPr>
      </w:pPr>
    </w:p>
    <w:p w:rsidR="004C6C1D" w:rsidRPr="004C6C1D" w:rsidRDefault="004C6C1D" w:rsidP="004C6C1D">
      <w:pPr>
        <w:outlineLvl w:val="1"/>
        <w:rPr>
          <w:rFonts w:cs="Arial"/>
          <w:b/>
          <w:bCs/>
          <w:sz w:val="28"/>
          <w:szCs w:val="32"/>
        </w:rPr>
      </w:pPr>
      <w:r w:rsidRPr="004C6C1D">
        <w:rPr>
          <w:rFonts w:cs="Arial"/>
          <w:b/>
          <w:bCs/>
          <w:color w:val="0000FF"/>
          <w:sz w:val="28"/>
          <w:szCs w:val="32"/>
        </w:rPr>
        <w:t>2.1.3 Discretionary Fees</w:t>
      </w:r>
    </w:p>
    <w:p w:rsidR="004C6C1D" w:rsidRPr="004C6C1D" w:rsidRDefault="004C6C1D" w:rsidP="004C6C1D">
      <w:pPr>
        <w:autoSpaceDE w:val="0"/>
        <w:autoSpaceDN w:val="0"/>
        <w:adjustRightInd w:val="0"/>
        <w:rPr>
          <w:rFonts w:cs="Arial"/>
          <w:color w:val="000000"/>
          <w:szCs w:val="24"/>
          <w:lang w:val="en-US"/>
        </w:rPr>
      </w:pPr>
    </w:p>
    <w:p w:rsidR="004C6C1D" w:rsidRPr="004C6C1D" w:rsidRDefault="004C6C1D" w:rsidP="004C6C1D">
      <w:r w:rsidRPr="004C6C1D">
        <w:t xml:space="preserve">It is recognised that discretionary fees are set at a level that ensures cost recovery, but must also not distract from the Councils goal to be more business friendly. </w:t>
      </w:r>
    </w:p>
    <w:p w:rsidR="004C6C1D" w:rsidRPr="004C6C1D" w:rsidRDefault="004C6C1D" w:rsidP="004C6C1D"/>
    <w:p w:rsidR="004C6C1D" w:rsidRPr="004C6C1D" w:rsidRDefault="004C6C1D" w:rsidP="004C6C1D">
      <w:r w:rsidRPr="004C6C1D">
        <w:t>Benchmarking has taken place which has led to a number of fees being adjusted to reflect consistency with neighbouring Boroughs.</w:t>
      </w:r>
    </w:p>
    <w:p w:rsidR="004C6C1D" w:rsidRPr="004C6C1D" w:rsidRDefault="004C6C1D" w:rsidP="004C6C1D"/>
    <w:p w:rsidR="004C6C1D" w:rsidRPr="004C6C1D" w:rsidRDefault="004C6C1D" w:rsidP="004C6C1D">
      <w:r w:rsidRPr="004C6C1D">
        <w:t>With statutory discretionary fees, these would always remain within the fee range or requirements set out under legislation.</w:t>
      </w:r>
    </w:p>
    <w:p w:rsidR="004C6C1D" w:rsidRPr="004C6C1D" w:rsidRDefault="004C6C1D" w:rsidP="004C6C1D"/>
    <w:p w:rsidR="004C6C1D" w:rsidRPr="004C6C1D" w:rsidRDefault="004C6C1D" w:rsidP="004C6C1D"/>
    <w:p w:rsidR="004C6C1D" w:rsidRPr="004C6C1D" w:rsidRDefault="004C6C1D" w:rsidP="004C6C1D">
      <w:pPr>
        <w:outlineLvl w:val="1"/>
        <w:rPr>
          <w:rFonts w:cs="Arial"/>
          <w:b/>
          <w:bCs/>
          <w:color w:val="0000FF"/>
          <w:sz w:val="28"/>
          <w:szCs w:val="32"/>
        </w:rPr>
      </w:pPr>
      <w:r w:rsidRPr="004C6C1D">
        <w:rPr>
          <w:rFonts w:cs="Arial"/>
          <w:b/>
          <w:bCs/>
          <w:color w:val="0000FF"/>
          <w:sz w:val="28"/>
          <w:szCs w:val="32"/>
        </w:rPr>
        <w:t>2.2 Main Options</w:t>
      </w:r>
    </w:p>
    <w:p w:rsidR="004C6C1D" w:rsidRPr="004C6C1D" w:rsidRDefault="004C6C1D" w:rsidP="004C6C1D"/>
    <w:p w:rsidR="004C6C1D" w:rsidRPr="004C6C1D" w:rsidRDefault="004C6C1D" w:rsidP="004C6C1D">
      <w:pPr>
        <w:rPr>
          <w:b/>
        </w:rPr>
      </w:pPr>
      <w:r w:rsidRPr="004C6C1D">
        <w:rPr>
          <w:b/>
        </w:rPr>
        <w:t>Approve the recommended fees and charges</w:t>
      </w:r>
    </w:p>
    <w:p w:rsidR="004C6C1D" w:rsidRPr="004C6C1D" w:rsidRDefault="004C6C1D" w:rsidP="004C6C1D"/>
    <w:p w:rsidR="004C6C1D" w:rsidRPr="004C6C1D" w:rsidRDefault="004C6C1D" w:rsidP="004C6C1D">
      <w:r w:rsidRPr="004C6C1D">
        <w:t>The fees and charges set out for approval have been reviewed and varied, where appropriate, to reflect the cost  in administering the process. Their approval will therefore ensure recovery of costs.</w:t>
      </w:r>
    </w:p>
    <w:p w:rsidR="004C6C1D" w:rsidRPr="004C6C1D" w:rsidRDefault="004C6C1D" w:rsidP="004C6C1D">
      <w:pPr>
        <w:ind w:left="720"/>
      </w:pPr>
    </w:p>
    <w:p w:rsidR="004C6C1D" w:rsidRPr="004C6C1D" w:rsidRDefault="004C6C1D" w:rsidP="004C6C1D"/>
    <w:p w:rsidR="004C6C1D" w:rsidRPr="004C6C1D" w:rsidRDefault="004C6C1D" w:rsidP="004C6C1D">
      <w:pPr>
        <w:rPr>
          <w:b/>
        </w:rPr>
      </w:pPr>
      <w:r w:rsidRPr="004C6C1D">
        <w:rPr>
          <w:b/>
        </w:rPr>
        <w:t>Do not approve the recommended fees and charges</w:t>
      </w:r>
    </w:p>
    <w:p w:rsidR="004C6C1D" w:rsidRPr="004C6C1D" w:rsidRDefault="004C6C1D" w:rsidP="004C6C1D"/>
    <w:p w:rsidR="004C6C1D" w:rsidRPr="004C6C1D" w:rsidRDefault="004C6C1D" w:rsidP="004C6C1D">
      <w:r w:rsidRPr="004C6C1D">
        <w:t>The Council needs to set its fees and charges for the forthcoming financial year and the proposed amounts stated in the Appendix are to ensure cost recovery as far as possible.  This option is therefore not recommended.</w:t>
      </w:r>
    </w:p>
    <w:p w:rsidR="004C6C1D" w:rsidRPr="004C6C1D" w:rsidRDefault="004C6C1D" w:rsidP="004C6C1D"/>
    <w:p w:rsidR="004C6C1D" w:rsidRPr="004C6C1D" w:rsidRDefault="004C6C1D" w:rsidP="004C6C1D"/>
    <w:p w:rsidR="004C6C1D" w:rsidRPr="004C6C1D" w:rsidRDefault="004C6C1D" w:rsidP="004C6C1D">
      <w:pPr>
        <w:outlineLvl w:val="1"/>
        <w:rPr>
          <w:rFonts w:cs="Arial"/>
          <w:b/>
          <w:bCs/>
          <w:color w:val="0000FF"/>
          <w:sz w:val="28"/>
          <w:szCs w:val="32"/>
        </w:rPr>
      </w:pPr>
      <w:r w:rsidRPr="004C6C1D">
        <w:rPr>
          <w:rFonts w:cs="Arial"/>
          <w:b/>
          <w:bCs/>
          <w:color w:val="0000FF"/>
          <w:sz w:val="28"/>
          <w:szCs w:val="32"/>
        </w:rPr>
        <w:t>2.3 Legal Implications</w:t>
      </w:r>
    </w:p>
    <w:p w:rsidR="004C6C1D" w:rsidRPr="004C6C1D" w:rsidRDefault="004C6C1D" w:rsidP="004C6C1D"/>
    <w:p w:rsidR="004C6C1D" w:rsidRPr="004C6C1D" w:rsidRDefault="004C6C1D" w:rsidP="004C6C1D">
      <w:pPr>
        <w:rPr>
          <w:szCs w:val="24"/>
        </w:rPr>
      </w:pPr>
      <w:r w:rsidRPr="004C6C1D">
        <w:t>As noted earlier, a number of fees and charges are prescribed by statute (</w:t>
      </w:r>
      <w:proofErr w:type="spellStart"/>
      <w:r w:rsidRPr="004C6C1D">
        <w:t>eg</w:t>
      </w:r>
      <w:proofErr w:type="spellEnd"/>
      <w:r w:rsidRPr="004C6C1D">
        <w:t xml:space="preserve">. Licensing Act 2003 (Fees) Regulations 2005), </w:t>
      </w:r>
      <w:r w:rsidRPr="004C6C1D">
        <w:rPr>
          <w:szCs w:val="24"/>
        </w:rPr>
        <w:t>as a set amount (in which case it is noted as ‘</w:t>
      </w:r>
      <w:r w:rsidRPr="004C6C1D">
        <w:rPr>
          <w:i/>
          <w:szCs w:val="24"/>
        </w:rPr>
        <w:t>statutory prescribed</w:t>
      </w:r>
      <w:r w:rsidRPr="004C6C1D">
        <w:rPr>
          <w:szCs w:val="24"/>
        </w:rPr>
        <w:t>’ in the appendix).</w:t>
      </w:r>
      <w:r w:rsidRPr="004C6C1D">
        <w:t xml:space="preserve"> For other fees and charges the relevant legislation may provide that a charge can be made</w:t>
      </w:r>
      <w:r w:rsidRPr="004C6C1D">
        <w:rPr>
          <w:szCs w:val="24"/>
        </w:rPr>
        <w:t xml:space="preserve"> for providing the service but the amount of the charge is discretionary, within the remit of the legislation, often  limited to cost recovery only, or a reasonable amount, or within a range/maximum amount.  The authority therefore sets the amount of the charge accordingly.  These are noted as ‘</w:t>
      </w:r>
      <w:r w:rsidRPr="004C6C1D">
        <w:rPr>
          <w:i/>
          <w:szCs w:val="24"/>
        </w:rPr>
        <w:t>statutory discretionary</w:t>
      </w:r>
      <w:r w:rsidRPr="004C6C1D">
        <w:rPr>
          <w:szCs w:val="24"/>
        </w:rPr>
        <w:t>’ in the appendix.</w:t>
      </w:r>
    </w:p>
    <w:p w:rsidR="004C6C1D" w:rsidRPr="004C6C1D" w:rsidRDefault="004C6C1D" w:rsidP="004C6C1D"/>
    <w:p w:rsidR="004C6C1D" w:rsidRPr="004C6C1D" w:rsidRDefault="004C6C1D" w:rsidP="004C6C1D">
      <w:r w:rsidRPr="004C6C1D">
        <w:lastRenderedPageBreak/>
        <w:t xml:space="preserve">Some of the regimes in the appendix are covered by the European Services Directive and the Provision of Services Regulations 2009, which implements the Directive.  As noted earlier this requires that fees charged in relation to authorisations must be reasonable and proportionate to the cost of the process, and the European Court of Justice ruling in the Hemming v Westminster City Council case which confirmed that a fee covering the administration costs of processing an application should be charged separately from the charge (to successful applicants) for enforcing the regime.  It is not possible to charge one fee at the outset and then refund unsuccessful applicants the enforcement part of the fee. The two must be charged separately. </w:t>
      </w:r>
    </w:p>
    <w:p w:rsidR="004C6C1D" w:rsidRPr="004C6C1D" w:rsidRDefault="004C6C1D" w:rsidP="004C6C1D"/>
    <w:p w:rsidR="004C6C1D" w:rsidRPr="004C6C1D" w:rsidRDefault="004C6C1D" w:rsidP="004C6C1D">
      <w:r w:rsidRPr="004C6C1D">
        <w:t>The Local Authorities (Functions &amp; Responsibilities) Regulations 2000 sets out what fees and charges cannot be set by the Executive (i.e. Cabinet) as the functions to which they relate are non-Executive functions. The fees and charges in Appendix 1 are those that Council should set, with the exception of those which are prescribed, and therefore for information only.</w:t>
      </w:r>
    </w:p>
    <w:p w:rsidR="004C6C1D" w:rsidRPr="004C6C1D" w:rsidRDefault="004C6C1D" w:rsidP="004C6C1D"/>
    <w:p w:rsidR="004C6C1D" w:rsidRPr="004C6C1D" w:rsidRDefault="004C6C1D" w:rsidP="004C6C1D"/>
    <w:p w:rsidR="004C6C1D" w:rsidRPr="004C6C1D" w:rsidRDefault="004C6C1D" w:rsidP="004C6C1D">
      <w:pPr>
        <w:outlineLvl w:val="1"/>
        <w:rPr>
          <w:rFonts w:cs="Arial"/>
          <w:b/>
          <w:bCs/>
          <w:color w:val="0000FF"/>
          <w:sz w:val="28"/>
          <w:szCs w:val="32"/>
        </w:rPr>
      </w:pPr>
      <w:r w:rsidRPr="004C6C1D">
        <w:rPr>
          <w:rFonts w:cs="Arial"/>
          <w:b/>
          <w:bCs/>
          <w:color w:val="0000FF"/>
          <w:sz w:val="28"/>
          <w:szCs w:val="32"/>
        </w:rPr>
        <w:t>2.4 Financial Implications</w:t>
      </w:r>
    </w:p>
    <w:p w:rsidR="004C6C1D" w:rsidRPr="004C6C1D" w:rsidRDefault="004C6C1D" w:rsidP="004C6C1D"/>
    <w:p w:rsidR="004C6C1D" w:rsidRPr="004C6C1D" w:rsidRDefault="004C6C1D" w:rsidP="004C6C1D">
      <w:pPr>
        <w:rPr>
          <w:rFonts w:cs="Arial"/>
          <w:bCs/>
          <w:szCs w:val="24"/>
        </w:rPr>
      </w:pPr>
      <w:r w:rsidRPr="004C6C1D">
        <w:rPr>
          <w:rFonts w:cs="Arial"/>
          <w:bCs/>
          <w:szCs w:val="24"/>
        </w:rPr>
        <w:t>The fees and charges for approval are set to recover total cost of administering the licensing functions as per legislation and guidance.</w:t>
      </w:r>
      <w:r w:rsidRPr="004C6C1D">
        <w:t xml:space="preserve"> Many of the charges are being increased by 4% (rounded up or down as appropriate).  This takes account of the current level of inflation as measured by the Retail Price Index, which as at September 2019 is 2.4% and also provides for an element of movement towards full cost recovery.</w:t>
      </w:r>
    </w:p>
    <w:p w:rsidR="004C6C1D" w:rsidRPr="004C6C1D" w:rsidRDefault="004C6C1D" w:rsidP="004C6C1D"/>
    <w:p w:rsidR="004C6C1D" w:rsidRPr="004C6C1D" w:rsidRDefault="004C6C1D" w:rsidP="004C6C1D">
      <w:pPr>
        <w:outlineLvl w:val="1"/>
        <w:rPr>
          <w:rFonts w:cs="Arial"/>
          <w:b/>
          <w:bCs/>
          <w:color w:val="0000FF"/>
          <w:sz w:val="28"/>
          <w:szCs w:val="32"/>
        </w:rPr>
      </w:pPr>
      <w:r w:rsidRPr="004C6C1D">
        <w:rPr>
          <w:rFonts w:cs="Arial"/>
          <w:b/>
          <w:bCs/>
          <w:color w:val="0000FF"/>
          <w:sz w:val="28"/>
          <w:szCs w:val="32"/>
        </w:rPr>
        <w:t>2.5 Risk Management</w:t>
      </w:r>
    </w:p>
    <w:p w:rsidR="004C6C1D" w:rsidRPr="004C6C1D" w:rsidRDefault="004C6C1D" w:rsidP="004C6C1D"/>
    <w:p w:rsidR="004C6C1D" w:rsidRPr="004C6C1D" w:rsidRDefault="004C6C1D" w:rsidP="004C6C1D">
      <w:pPr>
        <w:rPr>
          <w:rFonts w:cs="Arial"/>
          <w:bCs/>
          <w:szCs w:val="24"/>
        </w:rPr>
      </w:pPr>
      <w:r w:rsidRPr="004C6C1D">
        <w:rPr>
          <w:rFonts w:cs="Arial"/>
          <w:bCs/>
          <w:szCs w:val="24"/>
        </w:rPr>
        <w:t>Fees/charges need to be set correctly so as to comply with the requirements of the Provision of Services Regulations 2009, based on the EU Services Directive.  Failure to do this could result in the Authority levying a fee that is subsequently considered to have been set unlawfully.</w:t>
      </w:r>
    </w:p>
    <w:p w:rsidR="004C6C1D" w:rsidRPr="004C6C1D" w:rsidRDefault="004C6C1D" w:rsidP="004C6C1D">
      <w:pPr>
        <w:rPr>
          <w:rFonts w:cs="Arial"/>
          <w:bCs/>
          <w:szCs w:val="24"/>
        </w:rPr>
      </w:pPr>
    </w:p>
    <w:p w:rsidR="004C6C1D" w:rsidRPr="004C6C1D" w:rsidRDefault="004C6C1D" w:rsidP="004C6C1D">
      <w:r w:rsidRPr="004C6C1D">
        <w:rPr>
          <w:rFonts w:cs="Arial"/>
          <w:bCs/>
          <w:szCs w:val="24"/>
        </w:rPr>
        <w:t>Reference to recent case law around fees and charges under the Provision of Services Regulations 2009 is covered above and has been taken into account in the splitting of the fees and charges to ensure compliance.</w:t>
      </w:r>
    </w:p>
    <w:p w:rsidR="004C6C1D" w:rsidRPr="004C6C1D" w:rsidRDefault="004C6C1D" w:rsidP="004C6C1D"/>
    <w:p w:rsidR="004C6C1D" w:rsidRPr="004C6C1D" w:rsidRDefault="004C6C1D" w:rsidP="004C6C1D">
      <w:pPr>
        <w:outlineLvl w:val="1"/>
        <w:rPr>
          <w:rFonts w:cs="Arial"/>
          <w:b/>
          <w:bCs/>
          <w:color w:val="0000FF"/>
          <w:sz w:val="28"/>
          <w:szCs w:val="32"/>
        </w:rPr>
      </w:pPr>
      <w:r w:rsidRPr="004C6C1D">
        <w:rPr>
          <w:rFonts w:cs="Arial"/>
          <w:b/>
          <w:bCs/>
          <w:color w:val="0000FF"/>
          <w:sz w:val="28"/>
          <w:szCs w:val="32"/>
        </w:rPr>
        <w:t>2.6 Equalities Implications</w:t>
      </w:r>
    </w:p>
    <w:p w:rsidR="004C6C1D" w:rsidRPr="004C6C1D" w:rsidRDefault="004C6C1D" w:rsidP="004C6C1D"/>
    <w:p w:rsidR="004C6C1D" w:rsidRPr="004C6C1D" w:rsidRDefault="004C6C1D" w:rsidP="004C6C1D">
      <w:pPr>
        <w:autoSpaceDE w:val="0"/>
        <w:autoSpaceDN w:val="0"/>
        <w:adjustRightInd w:val="0"/>
        <w:rPr>
          <w:rFonts w:cs="Arial"/>
          <w:szCs w:val="24"/>
          <w:lang w:val="en-US"/>
        </w:rPr>
      </w:pPr>
      <w:r w:rsidRPr="004C6C1D">
        <w:rPr>
          <w:rFonts w:cs="Arial"/>
          <w:szCs w:val="24"/>
          <w:lang w:val="en-US"/>
        </w:rPr>
        <w:t>Section 149 of the Equality Act 2010 created the public sector equality duty.</w:t>
      </w:r>
    </w:p>
    <w:p w:rsidR="004C6C1D" w:rsidRPr="004C6C1D" w:rsidRDefault="004C6C1D" w:rsidP="004C6C1D">
      <w:pPr>
        <w:autoSpaceDE w:val="0"/>
        <w:autoSpaceDN w:val="0"/>
        <w:adjustRightInd w:val="0"/>
        <w:rPr>
          <w:rFonts w:cs="Arial"/>
          <w:szCs w:val="24"/>
          <w:lang w:val="en-US"/>
        </w:rPr>
      </w:pPr>
    </w:p>
    <w:p w:rsidR="004C6C1D" w:rsidRPr="004C6C1D" w:rsidRDefault="004C6C1D" w:rsidP="004C6C1D">
      <w:pPr>
        <w:autoSpaceDE w:val="0"/>
        <w:autoSpaceDN w:val="0"/>
        <w:adjustRightInd w:val="0"/>
        <w:rPr>
          <w:rFonts w:cs="Arial"/>
          <w:szCs w:val="24"/>
          <w:lang w:val="en-US"/>
        </w:rPr>
      </w:pPr>
      <w:r w:rsidRPr="004C6C1D">
        <w:rPr>
          <w:rFonts w:cs="Arial"/>
          <w:szCs w:val="24"/>
          <w:lang w:val="en-US"/>
        </w:rPr>
        <w:t>Section 149 states:-</w:t>
      </w:r>
    </w:p>
    <w:p w:rsidR="004C6C1D" w:rsidRPr="004C6C1D" w:rsidRDefault="004C6C1D" w:rsidP="004C6C1D">
      <w:pPr>
        <w:autoSpaceDE w:val="0"/>
        <w:autoSpaceDN w:val="0"/>
        <w:adjustRightInd w:val="0"/>
        <w:rPr>
          <w:rFonts w:cs="Arial"/>
          <w:szCs w:val="24"/>
          <w:lang w:val="en-US"/>
        </w:rPr>
      </w:pPr>
    </w:p>
    <w:p w:rsidR="004C6C1D" w:rsidRPr="004C6C1D" w:rsidRDefault="004C6C1D" w:rsidP="004C6C1D">
      <w:pPr>
        <w:autoSpaceDE w:val="0"/>
        <w:autoSpaceDN w:val="0"/>
        <w:adjustRightInd w:val="0"/>
        <w:rPr>
          <w:rFonts w:cs="Arial"/>
          <w:szCs w:val="24"/>
          <w:lang w:val="en-US"/>
        </w:rPr>
      </w:pPr>
      <w:r w:rsidRPr="004C6C1D">
        <w:rPr>
          <w:rFonts w:cs="Arial"/>
          <w:szCs w:val="24"/>
          <w:lang w:val="en-US"/>
        </w:rPr>
        <w:t>(1) A public authority must, in the exercise of its functions, have due regard to the need to:</w:t>
      </w:r>
    </w:p>
    <w:p w:rsidR="004C6C1D" w:rsidRPr="004C6C1D" w:rsidRDefault="004C6C1D" w:rsidP="004C6C1D">
      <w:pPr>
        <w:autoSpaceDE w:val="0"/>
        <w:autoSpaceDN w:val="0"/>
        <w:adjustRightInd w:val="0"/>
        <w:ind w:firstLine="720"/>
        <w:rPr>
          <w:rFonts w:cs="Arial"/>
          <w:szCs w:val="24"/>
          <w:lang w:val="en-US"/>
        </w:rPr>
      </w:pPr>
      <w:r w:rsidRPr="004C6C1D">
        <w:rPr>
          <w:rFonts w:cs="Arial"/>
          <w:szCs w:val="24"/>
          <w:lang w:val="en-US"/>
        </w:rPr>
        <w:t xml:space="preserve">(a) eliminate discrimination, harassment, </w:t>
      </w:r>
      <w:proofErr w:type="spellStart"/>
      <w:r w:rsidRPr="004C6C1D">
        <w:rPr>
          <w:rFonts w:cs="Arial"/>
          <w:szCs w:val="24"/>
          <w:lang w:val="en-US"/>
        </w:rPr>
        <w:t>victimisation</w:t>
      </w:r>
      <w:proofErr w:type="spellEnd"/>
      <w:r w:rsidRPr="004C6C1D">
        <w:rPr>
          <w:rFonts w:cs="Arial"/>
          <w:szCs w:val="24"/>
          <w:lang w:val="en-US"/>
        </w:rPr>
        <w:t xml:space="preserve"> and any other</w:t>
      </w:r>
    </w:p>
    <w:p w:rsidR="004C6C1D" w:rsidRPr="004C6C1D" w:rsidRDefault="004C6C1D" w:rsidP="004C6C1D">
      <w:pPr>
        <w:autoSpaceDE w:val="0"/>
        <w:autoSpaceDN w:val="0"/>
        <w:adjustRightInd w:val="0"/>
        <w:ind w:firstLine="720"/>
        <w:rPr>
          <w:rFonts w:cs="Arial"/>
          <w:szCs w:val="24"/>
          <w:lang w:val="en-US"/>
        </w:rPr>
      </w:pPr>
      <w:r w:rsidRPr="004C6C1D">
        <w:rPr>
          <w:rFonts w:cs="Arial"/>
          <w:szCs w:val="24"/>
          <w:lang w:val="en-US"/>
        </w:rPr>
        <w:t>conduct that is prohibited by or under this Act;</w:t>
      </w:r>
    </w:p>
    <w:p w:rsidR="004C6C1D" w:rsidRPr="004C6C1D" w:rsidRDefault="004C6C1D" w:rsidP="004C6C1D">
      <w:pPr>
        <w:autoSpaceDE w:val="0"/>
        <w:autoSpaceDN w:val="0"/>
        <w:adjustRightInd w:val="0"/>
        <w:ind w:left="720"/>
        <w:rPr>
          <w:rFonts w:cs="Arial"/>
          <w:szCs w:val="24"/>
          <w:lang w:val="en-US"/>
        </w:rPr>
      </w:pPr>
      <w:r w:rsidRPr="004C6C1D">
        <w:rPr>
          <w:rFonts w:cs="Arial"/>
          <w:szCs w:val="24"/>
          <w:lang w:val="en-US"/>
        </w:rPr>
        <w:t>(b) advance equality of opportunity between persons who share a relevant protected characteristic and persons who do not share it;</w:t>
      </w:r>
    </w:p>
    <w:p w:rsidR="004C6C1D" w:rsidRPr="004C6C1D" w:rsidRDefault="004C6C1D" w:rsidP="004C6C1D">
      <w:pPr>
        <w:autoSpaceDE w:val="0"/>
        <w:autoSpaceDN w:val="0"/>
        <w:adjustRightInd w:val="0"/>
        <w:ind w:left="720"/>
        <w:rPr>
          <w:rFonts w:cs="Arial"/>
          <w:szCs w:val="24"/>
          <w:lang w:val="en-US"/>
        </w:rPr>
      </w:pPr>
      <w:r w:rsidRPr="004C6C1D">
        <w:rPr>
          <w:rFonts w:cs="Arial"/>
          <w:szCs w:val="24"/>
          <w:lang w:val="en-US"/>
        </w:rPr>
        <w:lastRenderedPageBreak/>
        <w:t>(c) foster good relations between persons who share a relevant protected characteristic and persons who do not share it.</w:t>
      </w:r>
    </w:p>
    <w:p w:rsidR="004C6C1D" w:rsidRPr="004C6C1D" w:rsidRDefault="004C6C1D" w:rsidP="004C6C1D">
      <w:pPr>
        <w:spacing w:after="240"/>
      </w:pPr>
    </w:p>
    <w:p w:rsidR="004C6C1D" w:rsidRPr="004C6C1D" w:rsidRDefault="004C6C1D" w:rsidP="004C6C1D">
      <w:pPr>
        <w:spacing w:after="240"/>
      </w:pPr>
      <w:r w:rsidRPr="004C6C1D">
        <w:t xml:space="preserve">The relevant protected characteristics are age, race, disability, gender reassignment, pregnancy and maternity, religion or belief, sex and sexual orientation.  </w:t>
      </w:r>
    </w:p>
    <w:p w:rsidR="004C6C1D" w:rsidRPr="004C6C1D" w:rsidRDefault="004C6C1D" w:rsidP="004C6C1D">
      <w:pPr>
        <w:autoSpaceDE w:val="0"/>
        <w:autoSpaceDN w:val="0"/>
        <w:adjustRightInd w:val="0"/>
        <w:rPr>
          <w:rFonts w:cs="Arial"/>
          <w:szCs w:val="24"/>
          <w:lang w:val="en-US"/>
        </w:rPr>
      </w:pPr>
      <w:r w:rsidRPr="004C6C1D">
        <w:rPr>
          <w:rFonts w:cs="Arial"/>
          <w:szCs w:val="24"/>
          <w:lang w:val="en-US"/>
        </w:rPr>
        <w:t>An initial Equalities Impact Assessment (screening) has been conducted and</w:t>
      </w:r>
    </w:p>
    <w:p w:rsidR="004C6C1D" w:rsidRPr="004C6C1D" w:rsidRDefault="004C6C1D" w:rsidP="004C6C1D">
      <w:pPr>
        <w:autoSpaceDE w:val="0"/>
        <w:autoSpaceDN w:val="0"/>
        <w:adjustRightInd w:val="0"/>
        <w:rPr>
          <w:rFonts w:cs="Arial"/>
          <w:szCs w:val="24"/>
          <w:lang w:val="en-US"/>
        </w:rPr>
      </w:pPr>
      <w:r w:rsidRPr="004C6C1D">
        <w:rPr>
          <w:rFonts w:cs="Arial"/>
          <w:szCs w:val="24"/>
          <w:lang w:val="en-US"/>
        </w:rPr>
        <w:t>has found no adverse impacts on any of the protected groups.</w:t>
      </w:r>
    </w:p>
    <w:p w:rsidR="004C6C1D" w:rsidRPr="004C6C1D" w:rsidRDefault="004C6C1D" w:rsidP="004C6C1D">
      <w:pPr>
        <w:autoSpaceDE w:val="0"/>
        <w:autoSpaceDN w:val="0"/>
        <w:adjustRightInd w:val="0"/>
        <w:rPr>
          <w:rFonts w:cs="Arial"/>
          <w:szCs w:val="24"/>
          <w:lang w:val="en-US"/>
        </w:rPr>
      </w:pPr>
    </w:p>
    <w:p w:rsidR="004C6C1D" w:rsidRPr="004C6C1D" w:rsidRDefault="004C6C1D" w:rsidP="004C6C1D">
      <w:pPr>
        <w:autoSpaceDE w:val="0"/>
        <w:autoSpaceDN w:val="0"/>
        <w:adjustRightInd w:val="0"/>
        <w:rPr>
          <w:rFonts w:cs="Arial"/>
          <w:szCs w:val="24"/>
          <w:lang w:val="en-US"/>
        </w:rPr>
      </w:pPr>
      <w:r w:rsidRPr="004C6C1D">
        <w:rPr>
          <w:rFonts w:cs="Arial"/>
          <w:szCs w:val="24"/>
          <w:lang w:val="en-US"/>
        </w:rPr>
        <w:t xml:space="preserve">Fees and charges are kept under regular review to ensure that they are justifiable, fair and comparable with </w:t>
      </w:r>
      <w:proofErr w:type="spellStart"/>
      <w:r w:rsidRPr="004C6C1D">
        <w:rPr>
          <w:rFonts w:cs="Arial"/>
          <w:szCs w:val="24"/>
          <w:lang w:val="en-US"/>
        </w:rPr>
        <w:t>neighbouring</w:t>
      </w:r>
      <w:proofErr w:type="spellEnd"/>
      <w:r w:rsidRPr="004C6C1D">
        <w:rPr>
          <w:rFonts w:cs="Arial"/>
          <w:szCs w:val="24"/>
          <w:lang w:val="en-US"/>
        </w:rPr>
        <w:t xml:space="preserve"> Councils.</w:t>
      </w:r>
    </w:p>
    <w:p w:rsidR="004C6C1D" w:rsidRPr="004C6C1D" w:rsidRDefault="004C6C1D" w:rsidP="004C6C1D">
      <w:pPr>
        <w:autoSpaceDE w:val="0"/>
        <w:autoSpaceDN w:val="0"/>
        <w:adjustRightInd w:val="0"/>
        <w:rPr>
          <w:rFonts w:cs="Arial"/>
          <w:szCs w:val="24"/>
          <w:lang w:val="en-US"/>
        </w:rPr>
      </w:pPr>
    </w:p>
    <w:p w:rsidR="004C6C1D" w:rsidRPr="004C6C1D" w:rsidRDefault="004C6C1D" w:rsidP="004C6C1D">
      <w:pPr>
        <w:outlineLvl w:val="1"/>
        <w:rPr>
          <w:rFonts w:cs="Arial"/>
          <w:b/>
          <w:bCs/>
          <w:color w:val="0000FF"/>
          <w:sz w:val="28"/>
          <w:szCs w:val="32"/>
        </w:rPr>
      </w:pPr>
      <w:r w:rsidRPr="004C6C1D">
        <w:rPr>
          <w:rFonts w:cs="Arial"/>
          <w:b/>
          <w:bCs/>
          <w:color w:val="0000FF"/>
          <w:sz w:val="28"/>
          <w:szCs w:val="32"/>
        </w:rPr>
        <w:t>2.7 Risk Management</w:t>
      </w:r>
    </w:p>
    <w:p w:rsidR="004C6C1D" w:rsidRPr="004C6C1D" w:rsidRDefault="004C6C1D" w:rsidP="004C6C1D"/>
    <w:p w:rsidR="004C6C1D" w:rsidRPr="004C6C1D" w:rsidRDefault="004C6C1D" w:rsidP="004C6C1D">
      <w:pPr>
        <w:ind w:right="141"/>
        <w:rPr>
          <w:rFonts w:cs="Arial"/>
          <w:szCs w:val="24"/>
          <w:lang w:val="en-US"/>
        </w:rPr>
      </w:pPr>
      <w:r w:rsidRPr="004C6C1D">
        <w:rPr>
          <w:rFonts w:cs="Arial"/>
          <w:szCs w:val="24"/>
          <w:lang w:val="en-US"/>
        </w:rPr>
        <w:t>While a lot of the fees are mandatory and are therefore applicable regardless of a Council decision, by failing to approve the other fees &amp; charges, the Council will</w:t>
      </w:r>
      <w:bookmarkStart w:id="1" w:name="LastEdit"/>
      <w:bookmarkEnd w:id="1"/>
      <w:r w:rsidRPr="004C6C1D">
        <w:rPr>
          <w:rFonts w:cs="Arial"/>
          <w:szCs w:val="24"/>
          <w:lang w:val="en-US"/>
        </w:rPr>
        <w:t xml:space="preserve"> remain with previously set discretionary fees that do not take into account inflation and widens the gap in terms of cost recovery.</w:t>
      </w:r>
    </w:p>
    <w:p w:rsidR="004C6C1D" w:rsidRPr="004C6C1D" w:rsidRDefault="004C6C1D" w:rsidP="004C6C1D">
      <w:pPr>
        <w:ind w:right="141"/>
        <w:rPr>
          <w:rFonts w:cs="Arial"/>
          <w:szCs w:val="24"/>
          <w:lang w:val="en-US"/>
        </w:rPr>
      </w:pPr>
    </w:p>
    <w:p w:rsidR="004C6C1D" w:rsidRPr="004C6C1D" w:rsidRDefault="004C6C1D" w:rsidP="004C6C1D">
      <w:pPr>
        <w:outlineLvl w:val="1"/>
        <w:rPr>
          <w:rFonts w:cs="Arial"/>
          <w:b/>
          <w:bCs/>
          <w:color w:val="0000FF"/>
          <w:sz w:val="28"/>
          <w:szCs w:val="32"/>
        </w:rPr>
      </w:pPr>
      <w:r w:rsidRPr="004C6C1D">
        <w:rPr>
          <w:rFonts w:cs="Arial"/>
          <w:b/>
          <w:bCs/>
          <w:color w:val="0000FF"/>
          <w:sz w:val="28"/>
          <w:szCs w:val="32"/>
        </w:rPr>
        <w:t>2.8 Procurement Implications</w:t>
      </w:r>
    </w:p>
    <w:p w:rsidR="004C6C1D" w:rsidRPr="004C6C1D" w:rsidRDefault="004C6C1D" w:rsidP="004C6C1D"/>
    <w:p w:rsidR="004C6C1D" w:rsidRPr="004C6C1D" w:rsidRDefault="004C6C1D" w:rsidP="004C6C1D">
      <w:pPr>
        <w:ind w:right="141"/>
        <w:rPr>
          <w:rFonts w:cs="Arial"/>
          <w:szCs w:val="24"/>
          <w:lang w:val="en-US"/>
        </w:rPr>
      </w:pPr>
      <w:r w:rsidRPr="004C6C1D">
        <w:t>There are no procurement implications</w:t>
      </w:r>
    </w:p>
    <w:p w:rsidR="004C6C1D" w:rsidRPr="004C6C1D" w:rsidRDefault="004C6C1D" w:rsidP="004C6C1D">
      <w:pPr>
        <w:ind w:right="141"/>
        <w:rPr>
          <w:rFonts w:cs="Arial"/>
          <w:szCs w:val="24"/>
          <w:lang w:val="en-US"/>
        </w:rPr>
      </w:pPr>
    </w:p>
    <w:p w:rsidR="004C6C1D" w:rsidRPr="004C6C1D" w:rsidRDefault="004C6C1D" w:rsidP="004C6C1D">
      <w:pPr>
        <w:ind w:right="141"/>
        <w:rPr>
          <w:rFonts w:cs="Arial"/>
          <w:szCs w:val="24"/>
          <w:lang w:val="en-US"/>
        </w:rPr>
      </w:pPr>
    </w:p>
    <w:p w:rsidR="004C6C1D" w:rsidRPr="004C6C1D" w:rsidRDefault="004C6C1D" w:rsidP="004C6C1D">
      <w:pPr>
        <w:outlineLvl w:val="1"/>
        <w:rPr>
          <w:rFonts w:cs="Arial"/>
          <w:b/>
          <w:bCs/>
          <w:sz w:val="28"/>
          <w:szCs w:val="32"/>
        </w:rPr>
      </w:pPr>
      <w:r w:rsidRPr="004C6C1D">
        <w:rPr>
          <w:rFonts w:cs="Arial"/>
          <w:b/>
          <w:bCs/>
          <w:sz w:val="28"/>
          <w:szCs w:val="32"/>
        </w:rPr>
        <w:t>Council Priorities</w:t>
      </w:r>
    </w:p>
    <w:p w:rsidR="004C6C1D" w:rsidRPr="004C6C1D" w:rsidRDefault="004C6C1D" w:rsidP="004C6C1D"/>
    <w:p w:rsidR="004C6C1D" w:rsidRPr="004C6C1D" w:rsidRDefault="004C6C1D" w:rsidP="004C6C1D">
      <w:r w:rsidRPr="004C6C1D">
        <w:t>The Council’s vision:</w:t>
      </w:r>
    </w:p>
    <w:p w:rsidR="004C6C1D" w:rsidRPr="004C6C1D" w:rsidRDefault="004C6C1D" w:rsidP="004C6C1D"/>
    <w:p w:rsidR="004C6C1D" w:rsidRPr="004C6C1D" w:rsidRDefault="004C6C1D" w:rsidP="004C6C1D">
      <w:pPr>
        <w:rPr>
          <w:b/>
        </w:rPr>
      </w:pPr>
      <w:r w:rsidRPr="004C6C1D">
        <w:rPr>
          <w:b/>
        </w:rPr>
        <w:t>Working Together to Make a Difference for Harrow.</w:t>
      </w:r>
    </w:p>
    <w:p w:rsidR="004C6C1D" w:rsidRPr="004C6C1D" w:rsidRDefault="004C6C1D" w:rsidP="004C6C1D"/>
    <w:p w:rsidR="004C6C1D" w:rsidRPr="004C6C1D" w:rsidRDefault="004C6C1D" w:rsidP="004C6C1D">
      <w:r w:rsidRPr="004C6C1D">
        <w:t>The approval of fees and charges in Appendix 1 will ensure that the services can carry out the functions as set, ensuring a safe environment to those conducting, subject to or affected by a regime</w:t>
      </w:r>
    </w:p>
    <w:p w:rsidR="004C6C1D" w:rsidRPr="004C6C1D" w:rsidRDefault="004C6C1D" w:rsidP="004C6C1D"/>
    <w:p w:rsidR="004C6C1D" w:rsidRPr="004C6C1D" w:rsidRDefault="004C6C1D" w:rsidP="004C6C1D">
      <w:pPr>
        <w:keepNext/>
        <w:outlineLvl w:val="0"/>
        <w:rPr>
          <w:rFonts w:ascii="Arial Black" w:hAnsi="Arial Black" w:cs="Arial"/>
          <w:bCs/>
          <w:sz w:val="32"/>
          <w:szCs w:val="32"/>
        </w:rPr>
      </w:pPr>
      <w:r w:rsidRPr="004C6C1D">
        <w:rPr>
          <w:rFonts w:ascii="Arial Black" w:hAnsi="Arial Black" w:cs="Arial"/>
          <w:bCs/>
          <w:sz w:val="32"/>
          <w:szCs w:val="32"/>
        </w:rPr>
        <w:t>Section 3 - Statutory Officer Clearance</w:t>
      </w:r>
    </w:p>
    <w:p w:rsidR="004C6C1D" w:rsidRPr="004C6C1D" w:rsidRDefault="004C6C1D" w:rsidP="004C6C1D">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419"/>
        <w:gridCol w:w="227"/>
        <w:gridCol w:w="3922"/>
      </w:tblGrid>
      <w:tr w:rsidR="004C6C1D" w:rsidRPr="004C6C1D" w:rsidTr="006650BE">
        <w:tc>
          <w:tcPr>
            <w:tcW w:w="2320" w:type="pct"/>
            <w:tcBorders>
              <w:bottom w:val="nil"/>
              <w:right w:val="nil"/>
            </w:tcBorders>
          </w:tcPr>
          <w:p w:rsidR="004C6C1D" w:rsidRPr="004C6C1D" w:rsidRDefault="004C6C1D" w:rsidP="004C6C1D">
            <w:pPr>
              <w:rPr>
                <w:sz w:val="28"/>
              </w:rPr>
            </w:pPr>
          </w:p>
          <w:p w:rsidR="004C6C1D" w:rsidRPr="004C6C1D" w:rsidRDefault="004C6C1D" w:rsidP="004C6C1D">
            <w:pPr>
              <w:rPr>
                <w:sz w:val="28"/>
              </w:rPr>
            </w:pPr>
          </w:p>
        </w:tc>
        <w:tc>
          <w:tcPr>
            <w:tcW w:w="246" w:type="pct"/>
            <w:tcBorders>
              <w:left w:val="nil"/>
              <w:right w:val="nil"/>
            </w:tcBorders>
          </w:tcPr>
          <w:p w:rsidR="004C6C1D" w:rsidRPr="004C6C1D" w:rsidRDefault="004C6C1D" w:rsidP="004C6C1D">
            <w:pPr>
              <w:rPr>
                <w:sz w:val="28"/>
              </w:rPr>
            </w:pPr>
          </w:p>
        </w:tc>
        <w:tc>
          <w:tcPr>
            <w:tcW w:w="133" w:type="pct"/>
            <w:tcBorders>
              <w:left w:val="nil"/>
              <w:bottom w:val="nil"/>
              <w:right w:val="nil"/>
            </w:tcBorders>
          </w:tcPr>
          <w:p w:rsidR="004C6C1D" w:rsidRPr="004C6C1D" w:rsidRDefault="004C6C1D" w:rsidP="004C6C1D">
            <w:pPr>
              <w:rPr>
                <w:sz w:val="28"/>
              </w:rPr>
            </w:pPr>
          </w:p>
        </w:tc>
        <w:tc>
          <w:tcPr>
            <w:tcW w:w="2300" w:type="pct"/>
            <w:tcBorders>
              <w:left w:val="nil"/>
              <w:bottom w:val="nil"/>
            </w:tcBorders>
          </w:tcPr>
          <w:p w:rsidR="004C6C1D" w:rsidRPr="004C6C1D" w:rsidRDefault="004C6C1D" w:rsidP="004C6C1D">
            <w:pPr>
              <w:rPr>
                <w:sz w:val="28"/>
              </w:rPr>
            </w:pPr>
          </w:p>
          <w:p w:rsidR="004C6C1D" w:rsidRPr="004C6C1D" w:rsidRDefault="004C6C1D" w:rsidP="004C6C1D">
            <w:pPr>
              <w:rPr>
                <w:sz w:val="28"/>
              </w:rPr>
            </w:pPr>
            <w:r w:rsidRPr="004C6C1D">
              <w:rPr>
                <w:sz w:val="28"/>
              </w:rPr>
              <w:t>on behalf of the</w:t>
            </w:r>
          </w:p>
        </w:tc>
      </w:tr>
      <w:tr w:rsidR="004C6C1D" w:rsidRPr="004C6C1D" w:rsidTr="006650BE">
        <w:tc>
          <w:tcPr>
            <w:tcW w:w="2320" w:type="pct"/>
            <w:tcBorders>
              <w:top w:val="nil"/>
              <w:bottom w:val="nil"/>
            </w:tcBorders>
          </w:tcPr>
          <w:p w:rsidR="004C6C1D" w:rsidRPr="004C6C1D" w:rsidRDefault="004C6C1D" w:rsidP="004C6C1D">
            <w:pPr>
              <w:rPr>
                <w:sz w:val="28"/>
              </w:rPr>
            </w:pPr>
            <w:r w:rsidRPr="004C6C1D">
              <w:rPr>
                <w:sz w:val="28"/>
              </w:rPr>
              <w:t>Name:</w:t>
            </w:r>
            <w:r>
              <w:rPr>
                <w:sz w:val="28"/>
              </w:rPr>
              <w:t xml:space="preserve"> Jessie Man</w:t>
            </w:r>
          </w:p>
          <w:p w:rsidR="004C6C1D" w:rsidRPr="004C6C1D" w:rsidRDefault="004C6C1D" w:rsidP="004C6C1D">
            <w:pPr>
              <w:rPr>
                <w:sz w:val="28"/>
              </w:rPr>
            </w:pPr>
          </w:p>
        </w:tc>
        <w:tc>
          <w:tcPr>
            <w:tcW w:w="246" w:type="pct"/>
          </w:tcPr>
          <w:p w:rsidR="004C6C1D" w:rsidRPr="004C6C1D" w:rsidRDefault="004C6C1D" w:rsidP="004C6C1D">
            <w:pPr>
              <w:rPr>
                <w:sz w:val="28"/>
              </w:rPr>
            </w:pPr>
            <w:r w:rsidRPr="004C6C1D">
              <w:rPr>
                <w:sz w:val="28"/>
              </w:rPr>
              <w:t>X</w:t>
            </w:r>
          </w:p>
        </w:tc>
        <w:tc>
          <w:tcPr>
            <w:tcW w:w="133" w:type="pct"/>
            <w:tcBorders>
              <w:top w:val="nil"/>
              <w:bottom w:val="nil"/>
              <w:right w:val="nil"/>
            </w:tcBorders>
          </w:tcPr>
          <w:p w:rsidR="004C6C1D" w:rsidRPr="004C6C1D" w:rsidRDefault="004C6C1D" w:rsidP="004C6C1D">
            <w:pPr>
              <w:rPr>
                <w:sz w:val="28"/>
              </w:rPr>
            </w:pPr>
          </w:p>
        </w:tc>
        <w:tc>
          <w:tcPr>
            <w:tcW w:w="2300" w:type="pct"/>
            <w:tcBorders>
              <w:top w:val="nil"/>
              <w:left w:val="nil"/>
              <w:bottom w:val="nil"/>
            </w:tcBorders>
          </w:tcPr>
          <w:p w:rsidR="004C6C1D" w:rsidRPr="004C6C1D" w:rsidRDefault="004C6C1D" w:rsidP="004C6C1D">
            <w:pPr>
              <w:rPr>
                <w:sz w:val="28"/>
              </w:rPr>
            </w:pPr>
            <w:r w:rsidRPr="004C6C1D">
              <w:rPr>
                <w:sz w:val="28"/>
              </w:rPr>
              <w:t>Chief Financial Officer</w:t>
            </w:r>
          </w:p>
        </w:tc>
      </w:tr>
      <w:tr w:rsidR="004C6C1D" w:rsidRPr="004C6C1D" w:rsidTr="006650BE">
        <w:tc>
          <w:tcPr>
            <w:tcW w:w="2320" w:type="pct"/>
            <w:tcBorders>
              <w:top w:val="nil"/>
              <w:right w:val="nil"/>
            </w:tcBorders>
          </w:tcPr>
          <w:p w:rsidR="004C6C1D" w:rsidRPr="004C6C1D" w:rsidRDefault="004C6C1D" w:rsidP="004C6C1D">
            <w:pPr>
              <w:rPr>
                <w:sz w:val="28"/>
              </w:rPr>
            </w:pPr>
            <w:r w:rsidRPr="004C6C1D">
              <w:rPr>
                <w:sz w:val="28"/>
              </w:rPr>
              <w:t xml:space="preserve"> </w:t>
            </w:r>
          </w:p>
          <w:p w:rsidR="004C6C1D" w:rsidRPr="004C6C1D" w:rsidRDefault="004C6C1D" w:rsidP="004C6C1D">
            <w:pPr>
              <w:rPr>
                <w:sz w:val="28"/>
              </w:rPr>
            </w:pPr>
            <w:r w:rsidRPr="004C6C1D">
              <w:rPr>
                <w:sz w:val="28"/>
              </w:rPr>
              <w:t xml:space="preserve">Date: </w:t>
            </w:r>
            <w:r>
              <w:rPr>
                <w:sz w:val="28"/>
              </w:rPr>
              <w:t>6</w:t>
            </w:r>
            <w:r w:rsidRPr="004C6C1D">
              <w:rPr>
                <w:sz w:val="28"/>
                <w:vertAlign w:val="superscript"/>
              </w:rPr>
              <w:t>th</w:t>
            </w:r>
            <w:r>
              <w:rPr>
                <w:sz w:val="28"/>
              </w:rPr>
              <w:t xml:space="preserve"> February 2020</w:t>
            </w:r>
          </w:p>
        </w:tc>
        <w:tc>
          <w:tcPr>
            <w:tcW w:w="246" w:type="pct"/>
            <w:tcBorders>
              <w:left w:val="nil"/>
              <w:right w:val="nil"/>
            </w:tcBorders>
          </w:tcPr>
          <w:p w:rsidR="004C6C1D" w:rsidRPr="004C6C1D" w:rsidRDefault="004C6C1D" w:rsidP="004C6C1D">
            <w:pPr>
              <w:rPr>
                <w:sz w:val="28"/>
              </w:rPr>
            </w:pPr>
          </w:p>
        </w:tc>
        <w:tc>
          <w:tcPr>
            <w:tcW w:w="133" w:type="pct"/>
            <w:tcBorders>
              <w:top w:val="nil"/>
              <w:left w:val="nil"/>
              <w:right w:val="nil"/>
            </w:tcBorders>
          </w:tcPr>
          <w:p w:rsidR="004C6C1D" w:rsidRPr="004C6C1D" w:rsidRDefault="004C6C1D" w:rsidP="004C6C1D">
            <w:pPr>
              <w:rPr>
                <w:sz w:val="28"/>
              </w:rPr>
            </w:pPr>
          </w:p>
        </w:tc>
        <w:tc>
          <w:tcPr>
            <w:tcW w:w="2300" w:type="pct"/>
            <w:tcBorders>
              <w:top w:val="nil"/>
              <w:left w:val="nil"/>
            </w:tcBorders>
          </w:tcPr>
          <w:p w:rsidR="004C6C1D" w:rsidRPr="004C6C1D" w:rsidRDefault="004C6C1D" w:rsidP="004C6C1D">
            <w:pPr>
              <w:rPr>
                <w:sz w:val="28"/>
              </w:rPr>
            </w:pPr>
          </w:p>
        </w:tc>
      </w:tr>
      <w:tr w:rsidR="004C6C1D" w:rsidRPr="004C6C1D" w:rsidTr="006650BE">
        <w:tc>
          <w:tcPr>
            <w:tcW w:w="2320" w:type="pct"/>
            <w:tcBorders>
              <w:bottom w:val="nil"/>
              <w:right w:val="nil"/>
            </w:tcBorders>
          </w:tcPr>
          <w:p w:rsidR="004C6C1D" w:rsidRPr="004C6C1D" w:rsidRDefault="004C6C1D" w:rsidP="004C6C1D">
            <w:pPr>
              <w:rPr>
                <w:sz w:val="28"/>
              </w:rPr>
            </w:pPr>
          </w:p>
          <w:p w:rsidR="004C6C1D" w:rsidRPr="004C6C1D" w:rsidRDefault="004C6C1D" w:rsidP="004C6C1D">
            <w:pPr>
              <w:rPr>
                <w:sz w:val="28"/>
              </w:rPr>
            </w:pPr>
          </w:p>
        </w:tc>
        <w:tc>
          <w:tcPr>
            <w:tcW w:w="246" w:type="pct"/>
            <w:tcBorders>
              <w:left w:val="nil"/>
              <w:right w:val="nil"/>
            </w:tcBorders>
          </w:tcPr>
          <w:p w:rsidR="004C6C1D" w:rsidRPr="004C6C1D" w:rsidRDefault="004C6C1D" w:rsidP="004C6C1D">
            <w:pPr>
              <w:rPr>
                <w:sz w:val="28"/>
              </w:rPr>
            </w:pPr>
          </w:p>
        </w:tc>
        <w:tc>
          <w:tcPr>
            <w:tcW w:w="133" w:type="pct"/>
            <w:tcBorders>
              <w:left w:val="nil"/>
              <w:bottom w:val="nil"/>
              <w:right w:val="nil"/>
            </w:tcBorders>
          </w:tcPr>
          <w:p w:rsidR="004C6C1D" w:rsidRPr="004C6C1D" w:rsidRDefault="004C6C1D" w:rsidP="004C6C1D">
            <w:pPr>
              <w:rPr>
                <w:sz w:val="28"/>
              </w:rPr>
            </w:pPr>
          </w:p>
        </w:tc>
        <w:tc>
          <w:tcPr>
            <w:tcW w:w="2300" w:type="pct"/>
            <w:tcBorders>
              <w:left w:val="nil"/>
              <w:bottom w:val="nil"/>
            </w:tcBorders>
          </w:tcPr>
          <w:p w:rsidR="004C6C1D" w:rsidRPr="004C6C1D" w:rsidRDefault="004C6C1D" w:rsidP="004C6C1D">
            <w:pPr>
              <w:rPr>
                <w:sz w:val="28"/>
              </w:rPr>
            </w:pPr>
          </w:p>
          <w:p w:rsidR="004C6C1D" w:rsidRPr="004C6C1D" w:rsidRDefault="004C6C1D" w:rsidP="004C6C1D">
            <w:pPr>
              <w:rPr>
                <w:sz w:val="28"/>
              </w:rPr>
            </w:pPr>
            <w:r w:rsidRPr="004C6C1D">
              <w:rPr>
                <w:sz w:val="28"/>
              </w:rPr>
              <w:t>on behalf of the</w:t>
            </w:r>
          </w:p>
        </w:tc>
      </w:tr>
      <w:tr w:rsidR="004C6C1D" w:rsidRPr="004C6C1D" w:rsidTr="006650BE">
        <w:tc>
          <w:tcPr>
            <w:tcW w:w="2320" w:type="pct"/>
            <w:tcBorders>
              <w:top w:val="nil"/>
              <w:bottom w:val="nil"/>
            </w:tcBorders>
          </w:tcPr>
          <w:p w:rsidR="004C6C1D" w:rsidRPr="004C6C1D" w:rsidRDefault="004C6C1D" w:rsidP="004C6C1D">
            <w:pPr>
              <w:rPr>
                <w:sz w:val="28"/>
              </w:rPr>
            </w:pPr>
            <w:r w:rsidRPr="004C6C1D">
              <w:rPr>
                <w:sz w:val="28"/>
              </w:rPr>
              <w:t>Name:</w:t>
            </w:r>
            <w:r>
              <w:rPr>
                <w:sz w:val="28"/>
              </w:rPr>
              <w:t xml:space="preserve"> </w:t>
            </w:r>
            <w:proofErr w:type="spellStart"/>
            <w:r>
              <w:rPr>
                <w:sz w:val="28"/>
              </w:rPr>
              <w:t>Krupali</w:t>
            </w:r>
            <w:proofErr w:type="spellEnd"/>
            <w:r>
              <w:rPr>
                <w:sz w:val="28"/>
              </w:rPr>
              <w:t xml:space="preserve"> Patel</w:t>
            </w:r>
          </w:p>
          <w:p w:rsidR="004C6C1D" w:rsidRPr="004C6C1D" w:rsidRDefault="004C6C1D" w:rsidP="004C6C1D">
            <w:pPr>
              <w:rPr>
                <w:sz w:val="28"/>
              </w:rPr>
            </w:pPr>
          </w:p>
        </w:tc>
        <w:tc>
          <w:tcPr>
            <w:tcW w:w="246" w:type="pct"/>
          </w:tcPr>
          <w:p w:rsidR="004C6C1D" w:rsidRPr="004C6C1D" w:rsidRDefault="004C6C1D" w:rsidP="004C6C1D">
            <w:pPr>
              <w:rPr>
                <w:sz w:val="28"/>
              </w:rPr>
            </w:pPr>
            <w:r w:rsidRPr="004C6C1D">
              <w:rPr>
                <w:sz w:val="28"/>
              </w:rPr>
              <w:t>X</w:t>
            </w:r>
          </w:p>
        </w:tc>
        <w:tc>
          <w:tcPr>
            <w:tcW w:w="133" w:type="pct"/>
            <w:tcBorders>
              <w:top w:val="nil"/>
              <w:bottom w:val="nil"/>
              <w:right w:val="nil"/>
            </w:tcBorders>
          </w:tcPr>
          <w:p w:rsidR="004C6C1D" w:rsidRPr="004C6C1D" w:rsidRDefault="004C6C1D" w:rsidP="004C6C1D">
            <w:pPr>
              <w:rPr>
                <w:sz w:val="28"/>
              </w:rPr>
            </w:pPr>
          </w:p>
        </w:tc>
        <w:tc>
          <w:tcPr>
            <w:tcW w:w="2300" w:type="pct"/>
            <w:tcBorders>
              <w:top w:val="nil"/>
              <w:left w:val="nil"/>
              <w:bottom w:val="nil"/>
            </w:tcBorders>
          </w:tcPr>
          <w:p w:rsidR="004C6C1D" w:rsidRPr="004C6C1D" w:rsidRDefault="004C6C1D" w:rsidP="004C6C1D">
            <w:pPr>
              <w:rPr>
                <w:sz w:val="28"/>
              </w:rPr>
            </w:pPr>
            <w:r w:rsidRPr="004C6C1D">
              <w:rPr>
                <w:sz w:val="28"/>
              </w:rPr>
              <w:t>Monitoring Officer</w:t>
            </w:r>
          </w:p>
        </w:tc>
      </w:tr>
      <w:tr w:rsidR="004C6C1D" w:rsidRPr="004C6C1D" w:rsidTr="006650BE">
        <w:tc>
          <w:tcPr>
            <w:tcW w:w="2320" w:type="pct"/>
            <w:tcBorders>
              <w:top w:val="nil"/>
              <w:right w:val="nil"/>
            </w:tcBorders>
          </w:tcPr>
          <w:p w:rsidR="004C6C1D" w:rsidRPr="004C6C1D" w:rsidRDefault="004C6C1D" w:rsidP="004C6C1D">
            <w:pPr>
              <w:rPr>
                <w:sz w:val="28"/>
              </w:rPr>
            </w:pPr>
          </w:p>
          <w:p w:rsidR="004C6C1D" w:rsidRPr="004C6C1D" w:rsidRDefault="004C6C1D" w:rsidP="004C6C1D">
            <w:pPr>
              <w:rPr>
                <w:sz w:val="28"/>
              </w:rPr>
            </w:pPr>
            <w:r w:rsidRPr="004C6C1D">
              <w:rPr>
                <w:sz w:val="28"/>
              </w:rPr>
              <w:t xml:space="preserve">Date: </w:t>
            </w:r>
            <w:r>
              <w:rPr>
                <w:sz w:val="28"/>
              </w:rPr>
              <w:t>6</w:t>
            </w:r>
            <w:r w:rsidRPr="004C6C1D">
              <w:rPr>
                <w:sz w:val="28"/>
                <w:vertAlign w:val="superscript"/>
              </w:rPr>
              <w:t>th</w:t>
            </w:r>
            <w:r>
              <w:rPr>
                <w:sz w:val="28"/>
              </w:rPr>
              <w:t xml:space="preserve"> February 2020</w:t>
            </w:r>
          </w:p>
        </w:tc>
        <w:tc>
          <w:tcPr>
            <w:tcW w:w="246" w:type="pct"/>
            <w:tcBorders>
              <w:left w:val="nil"/>
              <w:right w:val="nil"/>
            </w:tcBorders>
          </w:tcPr>
          <w:p w:rsidR="004C6C1D" w:rsidRPr="004C6C1D" w:rsidRDefault="004C6C1D" w:rsidP="004C6C1D">
            <w:pPr>
              <w:rPr>
                <w:sz w:val="28"/>
              </w:rPr>
            </w:pPr>
          </w:p>
        </w:tc>
        <w:tc>
          <w:tcPr>
            <w:tcW w:w="133" w:type="pct"/>
            <w:tcBorders>
              <w:top w:val="nil"/>
              <w:left w:val="nil"/>
              <w:right w:val="nil"/>
            </w:tcBorders>
          </w:tcPr>
          <w:p w:rsidR="004C6C1D" w:rsidRPr="004C6C1D" w:rsidRDefault="004C6C1D" w:rsidP="004C6C1D">
            <w:pPr>
              <w:rPr>
                <w:sz w:val="28"/>
              </w:rPr>
            </w:pPr>
          </w:p>
        </w:tc>
        <w:tc>
          <w:tcPr>
            <w:tcW w:w="2300" w:type="pct"/>
            <w:tcBorders>
              <w:top w:val="nil"/>
              <w:left w:val="nil"/>
            </w:tcBorders>
          </w:tcPr>
          <w:p w:rsidR="004C6C1D" w:rsidRPr="004C6C1D" w:rsidRDefault="004C6C1D" w:rsidP="004C6C1D">
            <w:pPr>
              <w:rPr>
                <w:sz w:val="28"/>
              </w:rPr>
            </w:pPr>
          </w:p>
          <w:p w:rsidR="004C6C1D" w:rsidRPr="004C6C1D" w:rsidRDefault="004C6C1D" w:rsidP="004C6C1D">
            <w:pPr>
              <w:rPr>
                <w:sz w:val="28"/>
              </w:rPr>
            </w:pPr>
          </w:p>
        </w:tc>
      </w:tr>
    </w:tbl>
    <w:p w:rsidR="004C6C1D" w:rsidRDefault="004C6C1D" w:rsidP="004C6C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403"/>
        <w:gridCol w:w="234"/>
        <w:gridCol w:w="3577"/>
      </w:tblGrid>
      <w:tr w:rsidR="004C6C1D" w:rsidTr="001D199E">
        <w:tc>
          <w:tcPr>
            <w:tcW w:w="4752" w:type="dxa"/>
            <w:tcBorders>
              <w:bottom w:val="nil"/>
              <w:right w:val="nil"/>
            </w:tcBorders>
          </w:tcPr>
          <w:p w:rsidR="004C6C1D" w:rsidRDefault="004C6C1D" w:rsidP="001D199E">
            <w:pPr>
              <w:pStyle w:val="Infotext"/>
            </w:pPr>
          </w:p>
          <w:p w:rsidR="004C6C1D" w:rsidRDefault="004C6C1D" w:rsidP="001D199E">
            <w:pPr>
              <w:pStyle w:val="Infotext"/>
            </w:pPr>
          </w:p>
        </w:tc>
        <w:tc>
          <w:tcPr>
            <w:tcW w:w="387" w:type="dxa"/>
            <w:tcBorders>
              <w:left w:val="nil"/>
              <w:right w:val="nil"/>
            </w:tcBorders>
          </w:tcPr>
          <w:p w:rsidR="004C6C1D" w:rsidRDefault="004C6C1D" w:rsidP="001D199E">
            <w:pPr>
              <w:pStyle w:val="Infotext"/>
            </w:pPr>
          </w:p>
        </w:tc>
        <w:tc>
          <w:tcPr>
            <w:tcW w:w="236" w:type="dxa"/>
            <w:tcBorders>
              <w:left w:val="nil"/>
              <w:bottom w:val="nil"/>
              <w:right w:val="nil"/>
            </w:tcBorders>
          </w:tcPr>
          <w:p w:rsidR="004C6C1D" w:rsidRDefault="004C6C1D" w:rsidP="001D199E">
            <w:pPr>
              <w:pStyle w:val="Infotext"/>
            </w:pPr>
          </w:p>
        </w:tc>
        <w:tc>
          <w:tcPr>
            <w:tcW w:w="3890" w:type="dxa"/>
            <w:tcBorders>
              <w:left w:val="nil"/>
              <w:bottom w:val="nil"/>
            </w:tcBorders>
          </w:tcPr>
          <w:p w:rsidR="004C6C1D" w:rsidRDefault="004C6C1D" w:rsidP="001D199E">
            <w:pPr>
              <w:pStyle w:val="Infotext"/>
            </w:pPr>
          </w:p>
          <w:p w:rsidR="004C6C1D" w:rsidRDefault="004C6C1D" w:rsidP="001D199E">
            <w:pPr>
              <w:pStyle w:val="Infotext"/>
            </w:pPr>
          </w:p>
        </w:tc>
      </w:tr>
      <w:tr w:rsidR="004C6C1D" w:rsidTr="001D199E">
        <w:tc>
          <w:tcPr>
            <w:tcW w:w="4752" w:type="dxa"/>
            <w:tcBorders>
              <w:top w:val="nil"/>
              <w:bottom w:val="nil"/>
            </w:tcBorders>
          </w:tcPr>
          <w:p w:rsidR="004C6C1D" w:rsidRDefault="004C6C1D" w:rsidP="001D199E">
            <w:pPr>
              <w:pStyle w:val="Infotext"/>
            </w:pPr>
            <w:r>
              <w:t>Name:  Paul Walker</w:t>
            </w:r>
          </w:p>
        </w:tc>
        <w:tc>
          <w:tcPr>
            <w:tcW w:w="387" w:type="dxa"/>
            <w:tcBorders>
              <w:bottom w:val="single" w:sz="4" w:space="0" w:color="auto"/>
            </w:tcBorders>
          </w:tcPr>
          <w:p w:rsidR="004C6C1D" w:rsidRDefault="00376708" w:rsidP="001D199E">
            <w:pPr>
              <w:pStyle w:val="Infotext"/>
            </w:pPr>
            <w:r>
              <w:t>X</w:t>
            </w:r>
          </w:p>
        </w:tc>
        <w:tc>
          <w:tcPr>
            <w:tcW w:w="236" w:type="dxa"/>
            <w:tcBorders>
              <w:top w:val="nil"/>
              <w:bottom w:val="nil"/>
              <w:right w:val="nil"/>
            </w:tcBorders>
          </w:tcPr>
          <w:p w:rsidR="004C6C1D" w:rsidRDefault="004C6C1D" w:rsidP="001D199E">
            <w:pPr>
              <w:pStyle w:val="Infotext"/>
            </w:pPr>
          </w:p>
        </w:tc>
        <w:tc>
          <w:tcPr>
            <w:tcW w:w="3890" w:type="dxa"/>
            <w:tcBorders>
              <w:top w:val="nil"/>
              <w:left w:val="nil"/>
              <w:bottom w:val="nil"/>
            </w:tcBorders>
          </w:tcPr>
          <w:p w:rsidR="004C6C1D" w:rsidRDefault="004C6C1D" w:rsidP="001D199E">
            <w:pPr>
              <w:pStyle w:val="Infotext"/>
            </w:pPr>
            <w:r>
              <w:t>Corporate Director</w:t>
            </w:r>
          </w:p>
        </w:tc>
      </w:tr>
      <w:tr w:rsidR="004C6C1D" w:rsidTr="001D199E">
        <w:tc>
          <w:tcPr>
            <w:tcW w:w="4752" w:type="dxa"/>
            <w:tcBorders>
              <w:top w:val="nil"/>
              <w:right w:val="nil"/>
            </w:tcBorders>
          </w:tcPr>
          <w:p w:rsidR="004C6C1D" w:rsidRDefault="004C6C1D" w:rsidP="001D199E">
            <w:pPr>
              <w:pStyle w:val="Infotext"/>
            </w:pPr>
            <w:r>
              <w:t xml:space="preserve"> </w:t>
            </w:r>
          </w:p>
          <w:p w:rsidR="004C6C1D" w:rsidRDefault="004C6C1D" w:rsidP="001D199E">
            <w:pPr>
              <w:pStyle w:val="Infotext"/>
            </w:pPr>
            <w:r>
              <w:t xml:space="preserve">Date:  </w:t>
            </w:r>
            <w:r w:rsidR="00376708">
              <w:t>17</w:t>
            </w:r>
            <w:r w:rsidR="00376708">
              <w:rPr>
                <w:vertAlign w:val="superscript"/>
              </w:rPr>
              <w:t xml:space="preserve">th </w:t>
            </w:r>
            <w:r w:rsidR="00376708">
              <w:t>February 2020</w:t>
            </w:r>
          </w:p>
        </w:tc>
        <w:tc>
          <w:tcPr>
            <w:tcW w:w="387" w:type="dxa"/>
            <w:tcBorders>
              <w:left w:val="nil"/>
              <w:bottom w:val="single" w:sz="4" w:space="0" w:color="auto"/>
              <w:right w:val="nil"/>
            </w:tcBorders>
          </w:tcPr>
          <w:p w:rsidR="004C6C1D" w:rsidRDefault="004C6C1D" w:rsidP="001D199E">
            <w:pPr>
              <w:pStyle w:val="Infotext"/>
            </w:pPr>
          </w:p>
        </w:tc>
        <w:tc>
          <w:tcPr>
            <w:tcW w:w="236" w:type="dxa"/>
            <w:tcBorders>
              <w:top w:val="nil"/>
              <w:left w:val="nil"/>
              <w:right w:val="nil"/>
            </w:tcBorders>
          </w:tcPr>
          <w:p w:rsidR="004C6C1D" w:rsidRDefault="004C6C1D" w:rsidP="001D199E">
            <w:pPr>
              <w:pStyle w:val="Infotext"/>
            </w:pPr>
          </w:p>
        </w:tc>
        <w:tc>
          <w:tcPr>
            <w:tcW w:w="3890" w:type="dxa"/>
            <w:tcBorders>
              <w:top w:val="nil"/>
              <w:left w:val="nil"/>
            </w:tcBorders>
          </w:tcPr>
          <w:p w:rsidR="004C6C1D" w:rsidRDefault="004C6C1D" w:rsidP="001D199E">
            <w:pPr>
              <w:pStyle w:val="Infotext"/>
            </w:pPr>
          </w:p>
        </w:tc>
      </w:tr>
    </w:tbl>
    <w:p w:rsidR="004C6C1D" w:rsidRPr="004C6C1D" w:rsidRDefault="004C6C1D" w:rsidP="004C6C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4C6C1D" w:rsidRPr="004C6C1D" w:rsidTr="006650BE">
        <w:trPr>
          <w:trHeight w:val="965"/>
        </w:trPr>
        <w:tc>
          <w:tcPr>
            <w:tcW w:w="3025" w:type="pct"/>
            <w:tcBorders>
              <w:right w:val="nil"/>
            </w:tcBorders>
          </w:tcPr>
          <w:p w:rsidR="004C6C1D" w:rsidRPr="004C6C1D" w:rsidRDefault="004C6C1D" w:rsidP="004C6C1D">
            <w:pPr>
              <w:rPr>
                <w:rFonts w:ascii="Arial Black" w:hAnsi="Arial Black"/>
                <w:sz w:val="28"/>
              </w:rPr>
            </w:pPr>
          </w:p>
          <w:p w:rsidR="004C6C1D" w:rsidRPr="004C6C1D" w:rsidRDefault="004C6C1D" w:rsidP="004C6C1D">
            <w:pPr>
              <w:rPr>
                <w:rFonts w:ascii="Arial Black" w:hAnsi="Arial Black"/>
                <w:sz w:val="28"/>
              </w:rPr>
            </w:pPr>
            <w:r w:rsidRPr="004C6C1D">
              <w:rPr>
                <w:rFonts w:ascii="Arial Black" w:hAnsi="Arial Black"/>
                <w:sz w:val="28"/>
              </w:rPr>
              <w:t>Ward Councillors notified:</w:t>
            </w:r>
          </w:p>
          <w:p w:rsidR="004C6C1D" w:rsidRPr="004C6C1D" w:rsidRDefault="004C6C1D" w:rsidP="004C6C1D">
            <w:pPr>
              <w:rPr>
                <w:sz w:val="28"/>
              </w:rPr>
            </w:pPr>
          </w:p>
        </w:tc>
        <w:tc>
          <w:tcPr>
            <w:tcW w:w="1975" w:type="pct"/>
            <w:tcBorders>
              <w:left w:val="nil"/>
            </w:tcBorders>
          </w:tcPr>
          <w:p w:rsidR="004C6C1D" w:rsidRPr="004C6C1D" w:rsidRDefault="004C6C1D" w:rsidP="004C6C1D">
            <w:pPr>
              <w:rPr>
                <w:sz w:val="28"/>
              </w:rPr>
            </w:pPr>
          </w:p>
          <w:p w:rsidR="004C6C1D" w:rsidRPr="004C6C1D" w:rsidRDefault="004C6C1D" w:rsidP="004C6C1D">
            <w:pPr>
              <w:spacing w:before="120"/>
              <w:rPr>
                <w:b/>
                <w:sz w:val="28"/>
              </w:rPr>
            </w:pPr>
            <w:r w:rsidRPr="004C6C1D">
              <w:rPr>
                <w:b/>
                <w:sz w:val="28"/>
              </w:rPr>
              <w:t>NO</w:t>
            </w:r>
          </w:p>
          <w:p w:rsidR="004C6C1D" w:rsidRPr="004C6C1D" w:rsidRDefault="004C6C1D" w:rsidP="004C6C1D">
            <w:pPr>
              <w:rPr>
                <w:i/>
                <w:szCs w:val="24"/>
              </w:rPr>
            </w:pPr>
          </w:p>
        </w:tc>
      </w:tr>
    </w:tbl>
    <w:p w:rsidR="004C6C1D" w:rsidRPr="004C6C1D" w:rsidRDefault="004C6C1D" w:rsidP="004C6C1D"/>
    <w:p w:rsidR="004C6C1D" w:rsidRPr="004C6C1D" w:rsidRDefault="004C6C1D" w:rsidP="004C6C1D">
      <w:pPr>
        <w:keepNext/>
        <w:outlineLvl w:val="0"/>
        <w:rPr>
          <w:rFonts w:ascii="Arial Black" w:hAnsi="Arial Black" w:cs="Arial"/>
          <w:bCs/>
          <w:sz w:val="32"/>
          <w:szCs w:val="32"/>
        </w:rPr>
      </w:pPr>
      <w:r w:rsidRPr="004C6C1D">
        <w:rPr>
          <w:rFonts w:ascii="Arial Black" w:hAnsi="Arial Black" w:cs="Arial"/>
          <w:bCs/>
          <w:sz w:val="32"/>
          <w:szCs w:val="32"/>
        </w:rPr>
        <w:t>Section 4 - Contact Details and Background Papers</w:t>
      </w:r>
    </w:p>
    <w:p w:rsidR="004C6C1D" w:rsidRPr="004C6C1D" w:rsidRDefault="004C6C1D" w:rsidP="004C6C1D">
      <w:pPr>
        <w:keepNext/>
        <w:rPr>
          <w:rFonts w:cs="Arial"/>
        </w:rPr>
      </w:pPr>
    </w:p>
    <w:p w:rsidR="004C6C1D" w:rsidRPr="004C6C1D" w:rsidRDefault="004C6C1D" w:rsidP="004C6C1D">
      <w:pPr>
        <w:rPr>
          <w:b/>
          <w:sz w:val="28"/>
        </w:rPr>
      </w:pPr>
      <w:r w:rsidRPr="004C6C1D">
        <w:rPr>
          <w:b/>
          <w:sz w:val="28"/>
        </w:rPr>
        <w:t>Contact:   Richard Le-</w:t>
      </w:r>
      <w:proofErr w:type="spellStart"/>
      <w:r w:rsidRPr="004C6C1D">
        <w:rPr>
          <w:b/>
          <w:sz w:val="28"/>
        </w:rPr>
        <w:t>Brun</w:t>
      </w:r>
      <w:proofErr w:type="spellEnd"/>
      <w:r w:rsidRPr="004C6C1D">
        <w:rPr>
          <w:b/>
          <w:sz w:val="28"/>
        </w:rPr>
        <w:t>, Head of Service, (Community and Public Protection) Ext 6267</w:t>
      </w:r>
    </w:p>
    <w:p w:rsidR="004C6C1D" w:rsidRPr="004C6C1D" w:rsidRDefault="004C6C1D" w:rsidP="004C6C1D"/>
    <w:p w:rsidR="004C6C1D" w:rsidRPr="004C6C1D" w:rsidRDefault="004C6C1D" w:rsidP="004C6C1D"/>
    <w:p w:rsidR="004C6C1D" w:rsidRPr="004C6C1D" w:rsidRDefault="004C6C1D" w:rsidP="004C6C1D">
      <w:pPr>
        <w:rPr>
          <w:sz w:val="28"/>
        </w:rPr>
      </w:pPr>
      <w:r w:rsidRPr="004C6C1D">
        <w:rPr>
          <w:sz w:val="28"/>
        </w:rPr>
        <w:t xml:space="preserve">If appropriate, does the report include the following considerations? </w:t>
      </w:r>
    </w:p>
    <w:p w:rsidR="004C6C1D" w:rsidRPr="004C6C1D" w:rsidRDefault="004C6C1D" w:rsidP="004C6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743"/>
        <w:gridCol w:w="2126"/>
      </w:tblGrid>
      <w:tr w:rsidR="004C6C1D" w:rsidRPr="004C6C1D" w:rsidTr="006650BE">
        <w:tc>
          <w:tcPr>
            <w:tcW w:w="656" w:type="dxa"/>
          </w:tcPr>
          <w:p w:rsidR="004C6C1D" w:rsidRPr="004C6C1D" w:rsidRDefault="004C6C1D" w:rsidP="004C6C1D">
            <w:pPr>
              <w:rPr>
                <w:sz w:val="28"/>
              </w:rPr>
            </w:pPr>
            <w:r w:rsidRPr="004C6C1D">
              <w:rPr>
                <w:sz w:val="28"/>
              </w:rPr>
              <w:t>1.</w:t>
            </w:r>
          </w:p>
        </w:tc>
        <w:tc>
          <w:tcPr>
            <w:tcW w:w="5743" w:type="dxa"/>
          </w:tcPr>
          <w:p w:rsidR="004C6C1D" w:rsidRPr="004C6C1D" w:rsidRDefault="004C6C1D" w:rsidP="004C6C1D">
            <w:pPr>
              <w:rPr>
                <w:sz w:val="28"/>
              </w:rPr>
            </w:pPr>
            <w:r w:rsidRPr="004C6C1D">
              <w:rPr>
                <w:sz w:val="28"/>
              </w:rPr>
              <w:t xml:space="preserve">Consultation </w:t>
            </w:r>
          </w:p>
        </w:tc>
        <w:tc>
          <w:tcPr>
            <w:tcW w:w="2126" w:type="dxa"/>
          </w:tcPr>
          <w:p w:rsidR="004C6C1D" w:rsidRPr="004C6C1D" w:rsidRDefault="004C6C1D" w:rsidP="004C6C1D">
            <w:pPr>
              <w:rPr>
                <w:sz w:val="28"/>
              </w:rPr>
            </w:pPr>
            <w:r w:rsidRPr="004C6C1D">
              <w:rPr>
                <w:sz w:val="28"/>
              </w:rPr>
              <w:t>No</w:t>
            </w:r>
          </w:p>
        </w:tc>
      </w:tr>
      <w:tr w:rsidR="004C6C1D" w:rsidRPr="004C6C1D" w:rsidTr="006650BE">
        <w:tc>
          <w:tcPr>
            <w:tcW w:w="656" w:type="dxa"/>
          </w:tcPr>
          <w:p w:rsidR="004C6C1D" w:rsidRPr="004C6C1D" w:rsidRDefault="004C6C1D" w:rsidP="004C6C1D">
            <w:pPr>
              <w:rPr>
                <w:sz w:val="28"/>
              </w:rPr>
            </w:pPr>
            <w:r w:rsidRPr="004C6C1D">
              <w:rPr>
                <w:sz w:val="28"/>
              </w:rPr>
              <w:t>2.</w:t>
            </w:r>
          </w:p>
        </w:tc>
        <w:tc>
          <w:tcPr>
            <w:tcW w:w="5743" w:type="dxa"/>
          </w:tcPr>
          <w:p w:rsidR="004C6C1D" w:rsidRPr="004C6C1D" w:rsidRDefault="004C6C1D" w:rsidP="004C6C1D">
            <w:pPr>
              <w:rPr>
                <w:sz w:val="28"/>
              </w:rPr>
            </w:pPr>
            <w:r w:rsidRPr="004C6C1D">
              <w:rPr>
                <w:sz w:val="28"/>
              </w:rPr>
              <w:t>Priorities</w:t>
            </w:r>
          </w:p>
        </w:tc>
        <w:tc>
          <w:tcPr>
            <w:tcW w:w="2126" w:type="dxa"/>
          </w:tcPr>
          <w:p w:rsidR="004C6C1D" w:rsidRPr="004C6C1D" w:rsidRDefault="004C6C1D" w:rsidP="004C6C1D">
            <w:pPr>
              <w:rPr>
                <w:sz w:val="28"/>
              </w:rPr>
            </w:pPr>
            <w:r w:rsidRPr="004C6C1D">
              <w:rPr>
                <w:sz w:val="28"/>
              </w:rPr>
              <w:t xml:space="preserve">Yes </w:t>
            </w:r>
          </w:p>
        </w:tc>
      </w:tr>
    </w:tbl>
    <w:p w:rsidR="004C6C1D" w:rsidRPr="004C6C1D" w:rsidRDefault="004C6C1D" w:rsidP="004C6C1D"/>
    <w:p w:rsidR="001B441D" w:rsidRPr="007B7BAC" w:rsidRDefault="001B441D" w:rsidP="001B441D">
      <w:pPr>
        <w:rPr>
          <w:rFonts w:cs="Arial"/>
        </w:rPr>
      </w:pP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sectPr w:rsidR="00C32DAE" w:rsidRPr="00612A64"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1D" w:rsidRDefault="004C6C1D">
    <w:pPr>
      <w:pStyle w:val="Footer"/>
      <w:tabs>
        <w:tab w:val="clear" w:pos="4153"/>
        <w:tab w:val="clear" w:pos="8306"/>
      </w:tabs>
      <w:ind w:right="-900"/>
      <w:jc w:val="right"/>
      <w:rPr>
        <w:rFonts w:cs="Arial"/>
        <w:sz w:val="16"/>
      </w:rPr>
    </w:pPr>
    <w:r w:rsidRPr="00EC542E">
      <w:rPr>
        <w:rFonts w:cs="Arial"/>
        <w:sz w:val="16"/>
      </w:rPr>
      <w:fldChar w:fldCharType="begin"/>
    </w:r>
    <w:r w:rsidRPr="00EC542E">
      <w:rPr>
        <w:rFonts w:cs="Arial"/>
        <w:sz w:val="16"/>
      </w:rPr>
      <w:instrText xml:space="preserve"> FILENAME \p </w:instrText>
    </w:r>
    <w:r w:rsidRPr="00EC542E">
      <w:rPr>
        <w:rFonts w:cs="Arial"/>
        <w:sz w:val="16"/>
      </w:rPr>
      <w:fldChar w:fldCharType="separate"/>
    </w:r>
    <w:r>
      <w:rPr>
        <w:rFonts w:cs="Arial"/>
        <w:noProof/>
        <w:sz w:val="16"/>
      </w:rPr>
      <w:t>O:\Guidance Notes\Templates\New branded templates DRAFT\Committee Report Template (Aug 2009) - without guidance notes - bottom branding.doc</w:t>
    </w:r>
    <w:r w:rsidRPr="00EC542E">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1D" w:rsidRDefault="00C10324">
    <w:pPr>
      <w:pStyle w:val="Footer"/>
    </w:pPr>
    <w:r>
      <w:rPr>
        <w:noProof/>
        <w:lang w:val="en-GB" w:eastAsia="en-GB"/>
      </w:rPr>
      <w:drawing>
        <wp:anchor distT="0" distB="0" distL="114300" distR="114300" simplePos="0" relativeHeight="251658240" behindDoc="0" locked="1" layoutInCell="1" allowOverlap="0">
          <wp:simplePos x="0" y="0"/>
          <wp:positionH relativeFrom="column">
            <wp:posOffset>-1009650</wp:posOffset>
          </wp:positionH>
          <wp:positionV relativeFrom="page">
            <wp:posOffset>9015730</wp:posOffset>
          </wp:positionV>
          <wp:extent cx="7258050" cy="1306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1D" w:rsidRDefault="004C6C1D" w:rsidP="00583576">
    <w:pPr>
      <w:pStyle w:val="Header"/>
    </w:pPr>
  </w:p>
  <w:p w:rsidR="004C6C1D" w:rsidRDefault="004C6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C2BB1"/>
    <w:multiLevelType w:val="hybridMultilevel"/>
    <w:tmpl w:val="CAE8B1F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70497"/>
    <w:multiLevelType w:val="hybridMultilevel"/>
    <w:tmpl w:val="707A58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4"/>
  </w:num>
  <w:num w:numId="9">
    <w:abstractNumId w:val="3"/>
  </w:num>
  <w:num w:numId="10">
    <w:abstractNumId w:val="12"/>
  </w:num>
  <w:num w:numId="11">
    <w:abstractNumId w:val="15"/>
  </w:num>
  <w:num w:numId="12">
    <w:abstractNumId w:val="11"/>
  </w:num>
  <w:num w:numId="13">
    <w:abstractNumId w:val="2"/>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76708"/>
    <w:rsid w:val="00400032"/>
    <w:rsid w:val="0042394B"/>
    <w:rsid w:val="00473B08"/>
    <w:rsid w:val="00474B5F"/>
    <w:rsid w:val="004A3CE6"/>
    <w:rsid w:val="004B2C9D"/>
    <w:rsid w:val="004B4A47"/>
    <w:rsid w:val="004C6C1D"/>
    <w:rsid w:val="004E667D"/>
    <w:rsid w:val="004E6AF9"/>
    <w:rsid w:val="00597314"/>
    <w:rsid w:val="005A61AF"/>
    <w:rsid w:val="005D0886"/>
    <w:rsid w:val="005E384D"/>
    <w:rsid w:val="005F2181"/>
    <w:rsid w:val="005F724B"/>
    <w:rsid w:val="0063072B"/>
    <w:rsid w:val="00662891"/>
    <w:rsid w:val="006628B7"/>
    <w:rsid w:val="00675FCB"/>
    <w:rsid w:val="006C3914"/>
    <w:rsid w:val="006D3648"/>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9517C"/>
    <w:rsid w:val="009A0937"/>
    <w:rsid w:val="009B2ECD"/>
    <w:rsid w:val="009B7914"/>
    <w:rsid w:val="009F430B"/>
    <w:rsid w:val="00A566E7"/>
    <w:rsid w:val="00A940D3"/>
    <w:rsid w:val="00A96FCA"/>
    <w:rsid w:val="00AA4BE8"/>
    <w:rsid w:val="00AC0AAB"/>
    <w:rsid w:val="00AC7BA9"/>
    <w:rsid w:val="00B0425E"/>
    <w:rsid w:val="00B900E2"/>
    <w:rsid w:val="00B9118E"/>
    <w:rsid w:val="00BD684A"/>
    <w:rsid w:val="00C10324"/>
    <w:rsid w:val="00C32DAE"/>
    <w:rsid w:val="00C40E24"/>
    <w:rsid w:val="00C92D9A"/>
    <w:rsid w:val="00C96EF5"/>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609EF"/>
    <w:rsid w:val="00E8515B"/>
    <w:rsid w:val="00EF2F91"/>
    <w:rsid w:val="00F33EE3"/>
    <w:rsid w:val="00F366B4"/>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uiPriority w:val="9"/>
    <w:qFormat/>
    <w:rsid w:val="00F92398"/>
    <w:pPr>
      <w:outlineLvl w:val="0"/>
    </w:pPr>
    <w:rPr>
      <w:rFonts w:ascii="Arial Black" w:hAnsi="Arial Black"/>
      <w:b w:val="0"/>
      <w:sz w:val="32"/>
    </w:rPr>
  </w:style>
  <w:style w:type="paragraph" w:styleId="Heading2">
    <w:name w:val="heading 2"/>
    <w:basedOn w:val="Normal"/>
    <w:next w:val="Normal"/>
    <w:link w:val="Heading2Char"/>
    <w:uiPriority w:val="9"/>
    <w:qFormat/>
    <w:pPr>
      <w:outlineLvl w:val="1"/>
    </w:pPr>
    <w:rPr>
      <w:rFonts w:cs="Arial"/>
      <w:b/>
      <w:bCs/>
      <w:sz w:val="28"/>
      <w:szCs w:val="32"/>
    </w:rPr>
  </w:style>
  <w:style w:type="paragraph" w:styleId="Heading3">
    <w:name w:val="heading 3"/>
    <w:basedOn w:val="Normal"/>
    <w:next w:val="Normal"/>
    <w:uiPriority w:val="9"/>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uiPriority w:val="99"/>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link w:val="ListParagraphChar"/>
    <w:uiPriority w:val="34"/>
    <w:qFormat/>
    <w:rsid w:val="00213BE7"/>
    <w:pPr>
      <w:ind w:left="720"/>
    </w:pPr>
    <w:rPr>
      <w:rFonts w:eastAsia="Calibri" w:cs="Arial"/>
      <w:color w:val="000000"/>
      <w:sz w:val="22"/>
      <w:szCs w:val="22"/>
      <w:lang w:eastAsia="en-GB"/>
    </w:rPr>
  </w:style>
  <w:style w:type="character" w:customStyle="1" w:styleId="Heading1Char">
    <w:name w:val="Heading 1 Char"/>
    <w:link w:val="Heading1"/>
    <w:uiPriority w:val="9"/>
    <w:locked/>
    <w:rsid w:val="004C6C1D"/>
    <w:rPr>
      <w:rFonts w:ascii="Arial Black" w:hAnsi="Arial Black" w:cs="Arial"/>
      <w:bCs/>
      <w:sz w:val="32"/>
      <w:szCs w:val="32"/>
      <w:lang w:eastAsia="en-US"/>
    </w:rPr>
  </w:style>
  <w:style w:type="character" w:customStyle="1" w:styleId="Heading2Char">
    <w:name w:val="Heading 2 Char"/>
    <w:link w:val="Heading2"/>
    <w:uiPriority w:val="9"/>
    <w:locked/>
    <w:rsid w:val="004C6C1D"/>
    <w:rPr>
      <w:rFonts w:ascii="Arial" w:hAnsi="Arial" w:cs="Arial"/>
      <w:b/>
      <w:bCs/>
      <w:sz w:val="28"/>
      <w:szCs w:val="32"/>
      <w:lang w:eastAsia="en-US"/>
    </w:rPr>
  </w:style>
  <w:style w:type="character" w:customStyle="1" w:styleId="FooterChar">
    <w:name w:val="Footer Char"/>
    <w:link w:val="Footer"/>
    <w:uiPriority w:val="99"/>
    <w:locked/>
    <w:rsid w:val="004C6C1D"/>
    <w:rPr>
      <w:rFonts w:ascii="Arial" w:hAnsi="Arial"/>
      <w:sz w:val="24"/>
      <w:szCs w:val="24"/>
      <w:lang w:val="en-US" w:eastAsia="en-US"/>
    </w:rPr>
  </w:style>
  <w:style w:type="character" w:customStyle="1" w:styleId="HeaderChar">
    <w:name w:val="Header Char"/>
    <w:link w:val="Header"/>
    <w:uiPriority w:val="99"/>
    <w:locked/>
    <w:rsid w:val="004C6C1D"/>
    <w:rPr>
      <w:rFonts w:ascii="Arial" w:hAnsi="Arial"/>
      <w:sz w:val="24"/>
      <w:lang w:eastAsia="en-US"/>
    </w:rPr>
  </w:style>
  <w:style w:type="character" w:customStyle="1" w:styleId="ListParagraphChar">
    <w:name w:val="List Paragraph Char"/>
    <w:link w:val="ListParagraph"/>
    <w:uiPriority w:val="34"/>
    <w:locked/>
    <w:rsid w:val="004C6C1D"/>
    <w:rPr>
      <w:rFonts w:ascii="Arial" w:eastAsia="Calibri" w:hAnsi="Arial" w:cs="Arial"/>
      <w:color w:val="000000"/>
      <w:sz w:val="22"/>
      <w:szCs w:val="22"/>
    </w:rPr>
  </w:style>
  <w:style w:type="paragraph" w:customStyle="1" w:styleId="Default">
    <w:name w:val="Default"/>
    <w:rsid w:val="004C6C1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uiPriority w:val="9"/>
    <w:qFormat/>
    <w:rsid w:val="00F92398"/>
    <w:pPr>
      <w:outlineLvl w:val="0"/>
    </w:pPr>
    <w:rPr>
      <w:rFonts w:ascii="Arial Black" w:hAnsi="Arial Black"/>
      <w:b w:val="0"/>
      <w:sz w:val="32"/>
    </w:rPr>
  </w:style>
  <w:style w:type="paragraph" w:styleId="Heading2">
    <w:name w:val="heading 2"/>
    <w:basedOn w:val="Normal"/>
    <w:next w:val="Normal"/>
    <w:link w:val="Heading2Char"/>
    <w:uiPriority w:val="9"/>
    <w:qFormat/>
    <w:pPr>
      <w:outlineLvl w:val="1"/>
    </w:pPr>
    <w:rPr>
      <w:rFonts w:cs="Arial"/>
      <w:b/>
      <w:bCs/>
      <w:sz w:val="28"/>
      <w:szCs w:val="32"/>
    </w:rPr>
  </w:style>
  <w:style w:type="paragraph" w:styleId="Heading3">
    <w:name w:val="heading 3"/>
    <w:basedOn w:val="Normal"/>
    <w:next w:val="Normal"/>
    <w:uiPriority w:val="9"/>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uiPriority w:val="99"/>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link w:val="ListParagraphChar"/>
    <w:uiPriority w:val="34"/>
    <w:qFormat/>
    <w:rsid w:val="00213BE7"/>
    <w:pPr>
      <w:ind w:left="720"/>
    </w:pPr>
    <w:rPr>
      <w:rFonts w:eastAsia="Calibri" w:cs="Arial"/>
      <w:color w:val="000000"/>
      <w:sz w:val="22"/>
      <w:szCs w:val="22"/>
      <w:lang w:eastAsia="en-GB"/>
    </w:rPr>
  </w:style>
  <w:style w:type="character" w:customStyle="1" w:styleId="Heading1Char">
    <w:name w:val="Heading 1 Char"/>
    <w:link w:val="Heading1"/>
    <w:uiPriority w:val="9"/>
    <w:locked/>
    <w:rsid w:val="004C6C1D"/>
    <w:rPr>
      <w:rFonts w:ascii="Arial Black" w:hAnsi="Arial Black" w:cs="Arial"/>
      <w:bCs/>
      <w:sz w:val="32"/>
      <w:szCs w:val="32"/>
      <w:lang w:eastAsia="en-US"/>
    </w:rPr>
  </w:style>
  <w:style w:type="character" w:customStyle="1" w:styleId="Heading2Char">
    <w:name w:val="Heading 2 Char"/>
    <w:link w:val="Heading2"/>
    <w:uiPriority w:val="9"/>
    <w:locked/>
    <w:rsid w:val="004C6C1D"/>
    <w:rPr>
      <w:rFonts w:ascii="Arial" w:hAnsi="Arial" w:cs="Arial"/>
      <w:b/>
      <w:bCs/>
      <w:sz w:val="28"/>
      <w:szCs w:val="32"/>
      <w:lang w:eastAsia="en-US"/>
    </w:rPr>
  </w:style>
  <w:style w:type="character" w:customStyle="1" w:styleId="FooterChar">
    <w:name w:val="Footer Char"/>
    <w:link w:val="Footer"/>
    <w:uiPriority w:val="99"/>
    <w:locked/>
    <w:rsid w:val="004C6C1D"/>
    <w:rPr>
      <w:rFonts w:ascii="Arial" w:hAnsi="Arial"/>
      <w:sz w:val="24"/>
      <w:szCs w:val="24"/>
      <w:lang w:val="en-US" w:eastAsia="en-US"/>
    </w:rPr>
  </w:style>
  <w:style w:type="character" w:customStyle="1" w:styleId="HeaderChar">
    <w:name w:val="Header Char"/>
    <w:link w:val="Header"/>
    <w:uiPriority w:val="99"/>
    <w:locked/>
    <w:rsid w:val="004C6C1D"/>
    <w:rPr>
      <w:rFonts w:ascii="Arial" w:hAnsi="Arial"/>
      <w:sz w:val="24"/>
      <w:lang w:eastAsia="en-US"/>
    </w:rPr>
  </w:style>
  <w:style w:type="character" w:customStyle="1" w:styleId="ListParagraphChar">
    <w:name w:val="List Paragraph Char"/>
    <w:link w:val="ListParagraph"/>
    <w:uiPriority w:val="34"/>
    <w:locked/>
    <w:rsid w:val="004C6C1D"/>
    <w:rPr>
      <w:rFonts w:ascii="Arial" w:eastAsia="Calibri" w:hAnsi="Arial" w:cs="Arial"/>
      <w:color w:val="000000"/>
      <w:sz w:val="22"/>
      <w:szCs w:val="22"/>
    </w:rPr>
  </w:style>
  <w:style w:type="paragraph" w:customStyle="1" w:styleId="Default">
    <w:name w:val="Default"/>
    <w:rsid w:val="004C6C1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11197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aatherto</cp:lastModifiedBy>
  <cp:revision>3</cp:revision>
  <cp:lastPrinted>2007-07-12T09:53:00Z</cp:lastPrinted>
  <dcterms:created xsi:type="dcterms:W3CDTF">2020-02-18T09:32:00Z</dcterms:created>
  <dcterms:modified xsi:type="dcterms:W3CDTF">2020-02-18T14:28:00Z</dcterms:modified>
</cp:coreProperties>
</file>